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10.png" ContentType="image/png"/>
  <Override PartName="/word/media/image6.png" ContentType="image/png"/>
  <Override PartName="/word/media/image11.png" ContentType="image/png"/>
  <Override PartName="/word/media/image7.png" ContentType="image/png"/>
  <Override PartName="/word/media/image8.png" ContentType="image/png"/>
  <Override PartName="/word/media/image9.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before="156" w:after="120"/>
        <w:rPr/>
      </w:pPr>
      <w:r>
        <w:rPr>
          <w:b/>
          <w:bCs/>
          <w:sz w:val="24"/>
          <w:szCs w:val="24"/>
        </w:rPr>
        <w:t>3GPP TSG-RAN WG3 Meeting #127</w:t>
      </w:r>
      <w:r>
        <w:rPr/>
        <w:tab/>
        <w:tab/>
        <w:tab/>
        <w:tab/>
        <w:tab/>
        <w:tab/>
        <w:tab/>
        <w:tab/>
        <w:tab/>
        <w:tab/>
        <w:tab/>
        <w:tab/>
        <w:tab/>
        <w:tab/>
        <w:tab/>
        <w:tab/>
      </w:r>
      <w:r>
        <w:rPr>
          <w:b/>
          <w:bCs/>
          <w:sz w:val="24"/>
          <w:szCs w:val="24"/>
        </w:rPr>
        <w:t>R3-250388</w:t>
      </w:r>
    </w:p>
    <w:p>
      <w:pPr>
        <w:pStyle w:val="Normal"/>
        <w:widowControl w:val="false"/>
        <w:spacing w:before="156" w:after="120"/>
        <w:rPr/>
      </w:pPr>
      <w:r>
        <w:rPr>
          <w:b/>
          <w:bCs/>
          <w:sz w:val="24"/>
          <w:szCs w:val="24"/>
        </w:rPr>
        <w:t>Athens, Greece, Feb. 17th – 21st, 2025</w:t>
      </w:r>
    </w:p>
    <w:p>
      <w:pPr>
        <w:pStyle w:val="Normal"/>
        <w:keepNext w:val="true"/>
        <w:keepLines/>
        <w:tabs>
          <w:tab w:val="clear" w:pos="284"/>
          <w:tab w:val="left" w:pos="1985" w:leader="none"/>
          <w:tab w:val="left" w:pos="5670" w:leader="none"/>
        </w:tabs>
        <w:rPr>
          <w:rFonts w:ascii="Arial" w:hAnsi="Arial" w:cs="Arial"/>
          <w:sz w:val="24"/>
          <w:szCs w:val="24"/>
        </w:rPr>
      </w:pPr>
      <w:r>
        <w:rPr>
          <w:rFonts w:cs="Arial" w:ascii="Arial" w:hAnsi="Arial"/>
          <w:sz w:val="24"/>
          <w:szCs w:val="24"/>
        </w:rPr>
        <w:tab/>
        <w:tab/>
        <w:tab/>
        <w:tab/>
        <w:tab/>
        <w:tab/>
        <w:tab/>
        <w:tab/>
        <w:tab/>
        <w:tab/>
        <w:tab/>
        <w:tab/>
        <w:tab/>
        <w:tab/>
        <w:tab/>
      </w:r>
    </w:p>
    <w:p>
      <w:pPr>
        <w:pStyle w:val="Normal"/>
        <w:widowControl w:val="false"/>
        <w:spacing w:before="156" w:after="120"/>
        <w:rPr/>
      </w:pPr>
      <w:r>
        <w:rPr>
          <w:b/>
          <w:bCs/>
          <w:sz w:val="24"/>
          <w:szCs w:val="24"/>
          <w:lang w:val="en-US"/>
        </w:rPr>
        <w:t>Source</w:t>
        <w:tab/>
        <w:tab/>
        <w:tab/>
        <w:t xml:space="preserve">: </w:t>
      </w:r>
      <w:r>
        <w:rPr/>
        <w:tab/>
        <w:t xml:space="preserve">      </w:t>
      </w:r>
      <w:r>
        <w:rPr>
          <w:b/>
          <w:bCs/>
          <w:sz w:val="24"/>
          <w:szCs w:val="24"/>
          <w:lang w:val="en-US"/>
        </w:rPr>
        <w:t xml:space="preserve">CEWiT, </w:t>
      </w:r>
      <w:r>
        <w:rPr>
          <w:b/>
          <w:bCs/>
          <w:sz w:val="24"/>
          <w:szCs w:val="24"/>
          <w:lang w:val="en-US"/>
        </w:rPr>
        <w:t>Tejas Networks</w:t>
      </w:r>
    </w:p>
    <w:p>
      <w:pPr>
        <w:pStyle w:val="Normal"/>
        <w:widowControl w:val="false"/>
        <w:spacing w:before="156" w:after="120"/>
        <w:rPr/>
      </w:pPr>
      <w:r>
        <w:rPr>
          <w:b/>
          <w:bCs/>
          <w:sz w:val="24"/>
          <w:szCs w:val="24"/>
          <w:lang w:val="en-US"/>
        </w:rPr>
        <w:t>Agenda item</w:t>
        <w:tab/>
        <w:t xml:space="preserve">:    </w:t>
      </w:r>
      <w:r>
        <w:rPr/>
        <w:tab/>
      </w:r>
      <w:r>
        <w:rPr>
          <w:b/>
          <w:bCs/>
          <w:sz w:val="24"/>
          <w:szCs w:val="24"/>
          <w:lang w:val="en-US"/>
        </w:rPr>
        <w:t>20.2</w:t>
      </w:r>
    </w:p>
    <w:p>
      <w:pPr>
        <w:pStyle w:val="Normal"/>
        <w:widowControl w:val="false"/>
        <w:spacing w:before="156" w:after="120"/>
        <w:ind w:left="1350" w:hanging="1350"/>
        <w:rPr>
          <w:b/>
          <w:b/>
          <w:bCs/>
          <w:sz w:val="24"/>
          <w:szCs w:val="24"/>
          <w:lang w:val="en-US"/>
        </w:rPr>
      </w:pPr>
      <w:r>
        <w:rPr>
          <w:b/>
          <w:bCs/>
          <w:sz w:val="24"/>
          <w:szCs w:val="24"/>
          <w:lang w:val="en-US"/>
        </w:rPr>
        <w:t xml:space="preserve">Title </w:t>
        <w:tab/>
        <w:tab/>
        <w:t>:       Discussion on AI/ML-based Positioning Accuracy Enhancements</w:t>
      </w:r>
    </w:p>
    <w:p>
      <w:pPr>
        <w:pStyle w:val="Normal"/>
        <w:widowControl w:val="false"/>
        <w:pBdr>
          <w:bottom w:val="single" w:sz="4" w:space="1" w:color="000000"/>
        </w:pBdr>
        <w:spacing w:before="156" w:after="120"/>
        <w:rPr/>
      </w:pPr>
      <w:r>
        <w:rPr>
          <w:b/>
          <w:bCs/>
          <w:sz w:val="24"/>
          <w:szCs w:val="24"/>
          <w:lang w:val="en-US"/>
        </w:rPr>
        <w:t xml:space="preserve">Document for: </w:t>
      </w:r>
      <w:r>
        <w:rPr/>
        <w:tab/>
      </w:r>
      <w:r>
        <w:rPr>
          <w:b/>
          <w:bCs/>
          <w:sz w:val="24"/>
          <w:szCs w:val="24"/>
          <w:lang w:val="en-US"/>
        </w:rPr>
        <w:t xml:space="preserve">    Discussion and Decision</w:t>
      </w:r>
    </w:p>
    <w:p>
      <w:pPr>
        <w:pStyle w:val="Normal"/>
        <w:keepNext w:val="true"/>
        <w:keepLines/>
        <w:rPr>
          <w:rFonts w:ascii="Arial" w:hAnsi="Arial" w:eastAsia="MS Mincho" w:cs="Arial"/>
          <w:sz w:val="24"/>
          <w:szCs w:val="24"/>
        </w:rPr>
      </w:pPr>
      <w:r>
        <w:rPr>
          <w:rFonts w:eastAsia="MS Mincho" w:cs="Arial" w:ascii="Arial" w:hAnsi="Arial"/>
          <w:sz w:val="24"/>
          <w:szCs w:val="24"/>
        </w:rPr>
      </w:r>
    </w:p>
    <w:p>
      <w:pPr>
        <w:pStyle w:val="Heading1"/>
        <w:rPr/>
      </w:pPr>
      <w:r>
        <w:rPr>
          <w:rFonts w:ascii="Times New Roman" w:hAnsi="Times New Roman"/>
          <w:b/>
          <w:bCs/>
        </w:rPr>
        <w:t>1.</w:t>
      </w:r>
      <w:r>
        <w:rPr/>
        <w:tab/>
      </w:r>
      <w:r>
        <w:rPr>
          <w:rFonts w:ascii="Times New Roman" w:hAnsi="Times New Roman"/>
          <w:b/>
          <w:bCs/>
        </w:rPr>
        <w:t>Introduction</w:t>
      </w:r>
    </w:p>
    <w:p>
      <w:pPr>
        <w:pStyle w:val="Normal"/>
        <w:rPr>
          <w:lang w:eastAsia="ja-JP"/>
        </w:rPr>
      </w:pPr>
      <w:r>
        <w:rPr>
          <w:lang w:eastAsia="ja-JP"/>
        </w:rPr>
        <w:t>The Work Item on artificial intelligence/machine learning for NR air interface has the following objectives on AI/ML positioning [1]:</w:t>
      </w:r>
    </w:p>
    <w:tbl>
      <w:tblPr>
        <w:tblW w:w="9631" w:type="dxa"/>
        <w:jc w:val="left"/>
        <w:tblInd w:w="109" w:type="dxa"/>
        <w:tblCellMar>
          <w:top w:w="0" w:type="dxa"/>
          <w:left w:w="108" w:type="dxa"/>
          <w:bottom w:w="0" w:type="dxa"/>
          <w:right w:w="108" w:type="dxa"/>
        </w:tblCellMar>
        <w:tblLook w:val="04a0" w:noHBand="0" w:noVBand="1" w:firstColumn="1" w:lastRow="0" w:lastColumn="0" w:firstRow="1"/>
      </w:tblPr>
      <w:tblGrid>
        <w:gridCol w:w="9631"/>
      </w:tblGrid>
      <w:tr>
        <w:trPr/>
        <w:tc>
          <w:tcPr>
            <w:tcW w:w="9631" w:type="dxa"/>
            <w:tcBorders>
              <w:top w:val="single" w:sz="4" w:space="0" w:color="000000"/>
              <w:left w:val="single" w:sz="4" w:space="0" w:color="000000"/>
              <w:bottom w:val="single" w:sz="4" w:space="0" w:color="000000"/>
              <w:right w:val="single" w:sz="4" w:space="0" w:color="000000"/>
            </w:tcBorders>
          </w:tcPr>
          <w:p>
            <w:pPr>
              <w:pStyle w:val="Normal"/>
              <w:spacing w:before="0" w:after="0"/>
              <w:rPr>
                <w:bCs/>
              </w:rPr>
            </w:pPr>
            <w:r>
              <w:rPr>
                <w:bCs/>
              </w:rPr>
              <w:t>Provide specification support for the following aspects:</w:t>
            </w:r>
          </w:p>
          <w:p>
            <w:pPr>
              <w:pStyle w:val="Normal"/>
              <w:numPr>
                <w:ilvl w:val="0"/>
                <w:numId w:val="1"/>
              </w:numPr>
              <w:spacing w:before="0" w:after="0"/>
              <w:textAlignment w:val="baseline"/>
              <w:rPr>
                <w:bCs/>
              </w:rPr>
            </w:pPr>
            <w:r>
              <w:rPr>
                <w:bCs/>
              </w:rPr>
              <w:t>Positioning accuracy enhancements, encompassing [RAN1/RAN2/RAN3]:</w:t>
            </w:r>
          </w:p>
          <w:p>
            <w:pPr>
              <w:pStyle w:val="Normal"/>
              <w:numPr>
                <w:ilvl w:val="1"/>
                <w:numId w:val="1"/>
              </w:numPr>
              <w:spacing w:before="0" w:after="0"/>
              <w:textAlignment w:val="baseline"/>
              <w:rPr>
                <w:bCs/>
              </w:rPr>
            </w:pPr>
            <w:r>
              <w:rPr>
                <w:bCs/>
              </w:rPr>
              <w:t>Direct AI/ML positioning:</w:t>
            </w:r>
          </w:p>
          <w:p>
            <w:pPr>
              <w:pStyle w:val="Normal"/>
              <w:numPr>
                <w:ilvl w:val="2"/>
                <w:numId w:val="1"/>
              </w:numPr>
              <w:spacing w:before="0" w:after="0"/>
              <w:textAlignment w:val="baseline"/>
              <w:rPr/>
            </w:pPr>
            <w:r>
              <w:rPr>
                <w:bCs/>
              </w:rPr>
              <w:t>(1</w:t>
            </w:r>
            <w:r>
              <w:rPr>
                <w:bCs/>
                <w:vertAlign w:val="superscript"/>
              </w:rPr>
              <w:t>st</w:t>
            </w:r>
            <w:r>
              <w:rPr>
                <w:bCs/>
              </w:rPr>
              <w:t xml:space="preserve"> priority) Case 1: </w:t>
            </w:r>
            <w:r>
              <w:rPr/>
              <w:t>UE-based positioning with UE-side model, direct AI/ML positioning</w:t>
            </w:r>
          </w:p>
          <w:p>
            <w:pPr>
              <w:pStyle w:val="Normal"/>
              <w:numPr>
                <w:ilvl w:val="2"/>
                <w:numId w:val="1"/>
              </w:numPr>
              <w:spacing w:before="0" w:after="0"/>
              <w:textAlignment w:val="baseline"/>
              <w:rPr/>
            </w:pPr>
            <w:r>
              <w:rPr>
                <w:bCs/>
              </w:rPr>
              <w:t>(2</w:t>
            </w:r>
            <w:r>
              <w:rPr>
                <w:bCs/>
                <w:vertAlign w:val="superscript"/>
              </w:rPr>
              <w:t>nd</w:t>
            </w:r>
            <w:r>
              <w:rPr>
                <w:bCs/>
              </w:rPr>
              <w:t xml:space="preserve"> priority) Case 2b: </w:t>
            </w:r>
            <w:r>
              <w:rPr/>
              <w:t>UE-assisted/LMF-based positioning with LMF-side model, direct AI/ML positioning</w:t>
            </w:r>
          </w:p>
          <w:p>
            <w:pPr>
              <w:pStyle w:val="Normal"/>
              <w:numPr>
                <w:ilvl w:val="2"/>
                <w:numId w:val="1"/>
              </w:numPr>
              <w:spacing w:before="0" w:after="0"/>
              <w:textAlignment w:val="baseline"/>
              <w:rPr/>
            </w:pPr>
            <w:r>
              <w:rPr>
                <w:bCs/>
              </w:rPr>
              <w:t>(1</w:t>
            </w:r>
            <w:r>
              <w:rPr>
                <w:bCs/>
                <w:vertAlign w:val="superscript"/>
              </w:rPr>
              <w:t>st</w:t>
            </w:r>
            <w:r>
              <w:rPr>
                <w:bCs/>
              </w:rPr>
              <w:t xml:space="preserve"> priority) Case 3b:</w:t>
            </w:r>
            <w:r>
              <w:rPr/>
              <w:t xml:space="preserve"> NG-RAN node assisted positioning with LMF-side model, direct AI/ML positioning</w:t>
            </w:r>
          </w:p>
          <w:p>
            <w:pPr>
              <w:pStyle w:val="Normal"/>
              <w:numPr>
                <w:ilvl w:val="1"/>
                <w:numId w:val="1"/>
              </w:numPr>
              <w:spacing w:before="0" w:after="0"/>
              <w:textAlignment w:val="baseline"/>
              <w:rPr>
                <w:bCs/>
              </w:rPr>
            </w:pPr>
            <w:r>
              <w:rPr>
                <w:bCs/>
              </w:rPr>
              <w:t xml:space="preserve">AI/ML assisted positioning </w:t>
              <w:tab/>
              <w:tab/>
              <w:t xml:space="preserve"> </w:t>
            </w:r>
          </w:p>
          <w:p>
            <w:pPr>
              <w:pStyle w:val="Normal"/>
              <w:numPr>
                <w:ilvl w:val="2"/>
                <w:numId w:val="1"/>
              </w:numPr>
              <w:spacing w:before="0" w:after="0"/>
              <w:textAlignment w:val="baseline"/>
              <w:rPr/>
            </w:pPr>
            <w:r>
              <w:rPr>
                <w:bCs/>
              </w:rPr>
              <w:t>(2</w:t>
            </w:r>
            <w:r>
              <w:rPr>
                <w:bCs/>
                <w:vertAlign w:val="superscript"/>
              </w:rPr>
              <w:t>nd</w:t>
            </w:r>
            <w:r>
              <w:rPr>
                <w:bCs/>
              </w:rPr>
              <w:t xml:space="preserve"> priority) Case 2a: </w:t>
            </w:r>
            <w:r>
              <w:rPr/>
              <w:t>UE-assisted/LMF-based positioning with UE-side model, AI/ML assisted positioning</w:t>
            </w:r>
            <w:r>
              <w:rPr>
                <w:bCs/>
                <w:color w:val="BFBFBF"/>
              </w:rPr>
              <w:tab/>
            </w:r>
          </w:p>
          <w:p>
            <w:pPr>
              <w:pStyle w:val="Normal"/>
              <w:numPr>
                <w:ilvl w:val="2"/>
                <w:numId w:val="1"/>
              </w:numPr>
              <w:spacing w:before="0" w:after="0"/>
              <w:textAlignment w:val="baseline"/>
              <w:rPr/>
            </w:pPr>
            <w:r>
              <w:rPr>
                <w:bCs/>
              </w:rPr>
              <w:t>(1</w:t>
            </w:r>
            <w:r>
              <w:rPr>
                <w:bCs/>
                <w:vertAlign w:val="superscript"/>
              </w:rPr>
              <w:t>st</w:t>
            </w:r>
            <w:r>
              <w:rPr>
                <w:bCs/>
              </w:rPr>
              <w:t xml:space="preserve"> priority) Case 3a: </w:t>
            </w:r>
            <w:r>
              <w:rPr/>
              <w:t>NG-RAN node assisted positioning with gNB-side model, AI/ML assisted positioning</w:t>
            </w:r>
          </w:p>
          <w:p>
            <w:pPr>
              <w:pStyle w:val="Normal"/>
              <w:numPr>
                <w:ilvl w:val="1"/>
                <w:numId w:val="1"/>
              </w:numPr>
              <w:spacing w:before="0" w:after="0"/>
              <w:textAlignment w:val="baseline"/>
              <w:rPr>
                <w:bCs/>
              </w:rPr>
            </w:pPr>
            <w:r>
              <w:rPr>
                <w:bCs/>
              </w:rPr>
              <w:t>Specify necessary measurements, signalling/mechanism(s) to facilitate LCM operations specific to the Positioning accuracy enhancements use cases, if any</w:t>
            </w:r>
          </w:p>
          <w:p>
            <w:pPr>
              <w:pStyle w:val="Normal"/>
              <w:numPr>
                <w:ilvl w:val="1"/>
                <w:numId w:val="1"/>
              </w:numPr>
              <w:spacing w:before="0" w:after="0"/>
              <w:textAlignment w:val="baseline"/>
              <w:rPr>
                <w:bCs/>
              </w:rPr>
            </w:pPr>
            <w:r>
              <w:rPr>
                <w:bCs/>
              </w:rPr>
              <w:t>Investigate and specify the necessary signalling of necessary measurement enhancements (if any)</w:t>
            </w:r>
          </w:p>
          <w:p>
            <w:pPr>
              <w:pStyle w:val="Normal"/>
              <w:numPr>
                <w:ilvl w:val="1"/>
                <w:numId w:val="1"/>
              </w:numPr>
              <w:spacing w:before="0" w:after="0"/>
              <w:textAlignment w:val="baseline"/>
              <w:rPr>
                <w:bCs/>
              </w:rPr>
            </w:pPr>
            <w:r>
              <w:rPr>
                <w:bCs/>
              </w:rPr>
              <w:t>Enabling method(s) to ensure consistency between training and inference regarding NW-side additional conditions (if identified) for inference at UE for relevant positioning sub use cases</w:t>
            </w:r>
          </w:p>
          <w:p>
            <w:pPr>
              <w:pStyle w:val="Normal"/>
              <w:numPr>
                <w:ilvl w:val="1"/>
                <w:numId w:val="1"/>
              </w:numPr>
              <w:spacing w:before="0" w:after="0"/>
              <w:textAlignment w:val="baseline"/>
              <w:rPr>
                <w:bCs/>
              </w:rPr>
            </w:pPr>
            <w:r>
              <w:rPr>
                <w:bCs/>
              </w:rPr>
              <w:t xml:space="preserve">Note: RAN1 will not discuss any proposals targeting 2nd priority issues in Q4 of 2024. </w:t>
            </w:r>
          </w:p>
        </w:tc>
      </w:tr>
    </w:tbl>
    <w:p>
      <w:pPr>
        <w:pStyle w:val="Normal"/>
        <w:spacing w:before="180" w:after="0"/>
        <w:rPr>
          <w:lang w:eastAsia="ja-JP"/>
        </w:rPr>
      </w:pPr>
      <w:r>
        <w:rPr>
          <w:lang w:eastAsia="ja-JP"/>
        </w:rPr>
        <w:t>The positioning cases 3a and 3b with potential RAN3 specification impact are discussed in this document.</w:t>
      </w:r>
    </w:p>
    <w:p>
      <w:pPr>
        <w:pStyle w:val="Normal"/>
        <w:spacing w:before="180" w:after="0"/>
        <w:rPr>
          <w:lang w:eastAsia="ja-JP"/>
        </w:rPr>
      </w:pPr>
      <w:r>
        <w:rPr>
          <w:lang w:eastAsia="ja-JP"/>
        </w:rPr>
        <w:t>For the network-based positioning (Case 3a/3b), RAN3 made the following general agreements:</w:t>
      </w:r>
    </w:p>
    <w:p>
      <w:pPr>
        <w:pStyle w:val="Normal"/>
        <w:pBdr>
          <w:top w:val="single" w:sz="4" w:space="4" w:color="000000"/>
          <w:left w:val="single" w:sz="4" w:space="0" w:color="000000"/>
          <w:bottom w:val="single" w:sz="4" w:space="4" w:color="000000"/>
          <w:right w:val="single" w:sz="4" w:space="4" w:color="000000"/>
        </w:pBdr>
        <w:spacing w:before="0" w:after="180"/>
        <w:ind w:left="360" w:hanging="360"/>
        <w:contextualSpacing/>
        <w:rPr>
          <w:b/>
          <w:b/>
          <w:bCs/>
          <w:lang w:eastAsia="ja-JP"/>
        </w:rPr>
      </w:pPr>
      <w:r>
        <w:rPr>
          <w:b/>
          <w:bCs/>
          <w:lang w:eastAsia="ja-JP"/>
        </w:rPr>
        <w:t xml:space="preserve">RAN3#125bis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The existing LCS framework is re-used for AI/ML positioning.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b/>
          <w:b/>
          <w:bCs/>
          <w:lang w:eastAsia="ja-JP"/>
        </w:rPr>
      </w:pPr>
      <w:r>
        <w:rPr>
          <w:b/>
          <w:bCs/>
          <w:lang w:eastAsia="ja-JP"/>
        </w:rPr>
        <w:t xml:space="preserve">Case 3b: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Re-using the Measurement procedure defined in NRPPa to support requesting and reporting the related measurements to LMF for Case 3b. The details of the related measurements are still pending and subject to further discussion in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NG-RAN gets measurements (i.e., part A information as called by RAN1) from TRP and provides them to LMF.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The details of the measurements are still pending and subject to further discussion in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b/>
          <w:b/>
          <w:bCs/>
          <w:lang w:eastAsia="ja-JP"/>
        </w:rPr>
      </w:pPr>
      <w:r>
        <w:rPr>
          <w:b/>
          <w:bCs/>
          <w:lang w:eastAsia="ja-JP"/>
        </w:rPr>
        <w:t xml:space="preserve">Case 3a: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The AI/ML model (inference and training functions) is at the gNB.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LMF provides ground truth label and related data (i.e., part B information as called by RAN1) to NG-RAN.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FFS on the content of the ground truth label and related data pending on RAN1 progress. FFS on the signalling design.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How the LMF obtains the ground truth label and related data information is outside of RAN3 scope.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NG-RAN obtains measurements from TRP (i.e., part A information as called by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The details of the measurements are still pending and subject to further discussion in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WA: RAN3 will proceed with Option A: NG-RAN node performs monitoring metric calculation for its own model.</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ind w:left="360" w:hanging="360"/>
        <w:contextualSpacing/>
        <w:rPr>
          <w:b/>
          <w:b/>
          <w:bCs/>
          <w:lang w:eastAsia="ja-JP"/>
        </w:rPr>
      </w:pPr>
      <w:r>
        <w:rPr>
          <w:b/>
          <w:bCs/>
          <w:lang w:eastAsia="ja-JP"/>
        </w:rPr>
        <w:t>RAN3#126</w:t>
      </w:r>
    </w:p>
    <w:p>
      <w:pPr>
        <w:pStyle w:val="Normal"/>
        <w:pBdr>
          <w:top w:val="single" w:sz="4" w:space="4" w:color="000000"/>
          <w:left w:val="single" w:sz="4" w:space="0" w:color="000000"/>
          <w:bottom w:val="single" w:sz="4" w:space="4" w:color="000000"/>
          <w:right w:val="single" w:sz="4" w:space="4" w:color="000000"/>
        </w:pBdr>
        <w:spacing w:before="0" w:after="180"/>
        <w:ind w:left="360" w:hanging="360"/>
        <w:contextualSpacing/>
        <w:rPr>
          <w:b/>
          <w:b/>
          <w:bCs/>
          <w:lang w:eastAsia="ja-JP"/>
        </w:rPr>
      </w:pPr>
      <w:r>
        <w:rPr>
          <w:b/>
          <w:bCs/>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Turn WA to agreement: RAN3 will proceed with Option A: NG-RAN node performs monitoring metric calculation for its own model.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Signalling of measurements as the inference output for case 3a can re-use the existing procedures for positioning measurement specified over NRPPa.</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WA: The LMF starts a NRPPa transaction. The gNB determines that data collection is needed.</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FFS how the gNB requests the LMF and whether this request triggers positioning for the UE being requested for part B information (as defined by RAN1).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FFS on the protocol used (NRPPa or NGAP) for the data collection request. FFS how the UE is identified.</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 xml:space="preserve">Common understanding is that the existing Time Stamp IE, Measurement Quality IE and LoS/NLoS indicator IE in the TRP measurement result can be re-used. </w:t>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r>
    </w:p>
    <w:p>
      <w:pPr>
        <w:pStyle w:val="Normal"/>
        <w:pBdr>
          <w:top w:val="single" w:sz="4" w:space="4" w:color="000000"/>
          <w:left w:val="single" w:sz="4" w:space="0" w:color="000000"/>
          <w:bottom w:val="single" w:sz="4" w:space="4" w:color="000000"/>
          <w:right w:val="single" w:sz="4" w:space="4" w:color="000000"/>
        </w:pBdr>
        <w:spacing w:before="0" w:after="180"/>
        <w:contextualSpacing/>
        <w:rPr>
          <w:lang w:eastAsia="ja-JP"/>
        </w:rPr>
      </w:pPr>
      <w:r>
        <w:rPr>
          <w:lang w:eastAsia="ja-JP"/>
        </w:rPr>
        <w:t>FFS if LMF should be aware that the reported measurements are AI/ML generated.</w:t>
      </w:r>
    </w:p>
    <w:p>
      <w:pPr>
        <w:pStyle w:val="Normal"/>
        <w:spacing w:before="0" w:after="180"/>
        <w:ind w:left="360" w:hanging="360"/>
        <w:contextualSpacing/>
        <w:rPr>
          <w:lang w:eastAsia="ja-JP"/>
        </w:rPr>
      </w:pPr>
      <w:r>
        <w:rPr>
          <w:lang w:eastAsia="ja-JP"/>
        </w:rPr>
      </w:r>
    </w:p>
    <w:p>
      <w:pPr>
        <w:pStyle w:val="Heading1"/>
        <w:rPr/>
      </w:pPr>
      <w:r>
        <w:rPr>
          <w:rFonts w:ascii="Times New Roman" w:hAnsi="Times New Roman"/>
          <w:b/>
          <w:bCs/>
        </w:rPr>
        <w:t>2.</w:t>
      </w:r>
      <w:r>
        <w:rPr/>
        <w:tab/>
      </w:r>
      <w:r>
        <w:rPr>
          <w:rFonts w:ascii="Times New Roman" w:hAnsi="Times New Roman"/>
          <w:b/>
          <w:bCs/>
        </w:rPr>
        <w:t xml:space="preserve">Ground Truth Label </w:t>
      </w:r>
    </w:p>
    <w:p>
      <w:pPr>
        <w:pStyle w:val="Normal"/>
        <w:rPr/>
      </w:pPr>
      <w:r>
        <w:rPr>
          <w:lang w:eastAsia="ja-JP"/>
        </w:rPr>
        <w:t>The model training and model monitoring at the gNB-side model (Case 3a) require the ground truth label (GTL) (called as part B) information for the UE(s) in the area of interest (AoI). The possible options are illustrated in Figure 1.</w:t>
      </w:r>
    </w:p>
    <w:p>
      <w:pPr>
        <w:pStyle w:val="Normal"/>
        <w:spacing w:lineRule="auto" w:line="259"/>
        <w:jc w:val="both"/>
        <w:rPr>
          <w:lang w:eastAsia="ja-JP"/>
        </w:rPr>
      </w:pPr>
      <w:r>
        <w:rPr>
          <w:lang w:eastAsia="ja-JP"/>
        </w:rPr>
        <w:t>As shown in Figure 1, the GTL can be acquired using two ways – 1) Implicit Method and 2) Explicit Method. In the implicit method, the gNB shall take advantage of the ongoing positioning session to get the GTL, whenever it is involved whereas in the explicit method, the gNB itself shall initiate the positioning procedure to get the GTL. The LMF sends the GTL to the gNB/NG-RAN at the end of the location computation of the UE. The implicit method involves the data collection from a UE which is already part of a positioning session while the explicit method may need the involvement of a specific list of UE(s), or any random list of UE(s) associated with the gNB/NG-RAN. Hence, there may be a requirement for obtaining the consent of the UE(s) chosen for the data collection procedure in the explicit method whereas in implicit method such consent is already acquired. The access and mobility management function (AMF) is responsible for addressing the consent-related aspects.</w:t>
      </w:r>
    </w:p>
    <w:p>
      <w:pPr>
        <w:pStyle w:val="Normal"/>
        <w:spacing w:lineRule="auto" w:line="259"/>
        <w:jc w:val="both"/>
        <w:rPr>
          <w:lang w:eastAsia="ja-JP"/>
        </w:rPr>
      </w:pPr>
      <w:r>
        <w:rPr>
          <w:lang w:eastAsia="ja-JP"/>
        </w:rPr>
        <w:t xml:space="preserve">Both the implicit and explicit methods are important based on the use case and the purpose of the GTL. The implicit method utilises the ongoing positioning session, so the overhead is less. But it may be a slow process and will depend on the LCS request coming from the external applications. This may result in delay to get the training data and the gNB/NG-RAN may have less control over acquiring the data. Meanwhile, the explicit method will provide the GTL from all the consent-given UEs in less time and may provide better control of the gNB/NG-RAN over the GTL data acquisition. The downside of this method is the overhead in the signalling. Thus, both methods are important and may be configured based on the requirement and shall be supported in the specification to utilise the advantages of both methods.  </w:t>
      </w:r>
    </w:p>
    <w:p>
      <w:pPr>
        <w:pStyle w:val="ListParagraph"/>
        <w:spacing w:lineRule="auto" w:line="259"/>
        <w:ind w:left="360" w:hanging="0"/>
        <w:rPr>
          <w:rFonts w:ascii="Times New Roman" w:hAnsi="Times New Roman" w:eastAsia="Times New Roman"/>
          <w:sz w:val="20"/>
          <w:szCs w:val="20"/>
        </w:rPr>
      </w:pPr>
      <w:r>
        <w:rPr>
          <w:rFonts w:eastAsia="Times New Roman" w:ascii="Times New Roman" w:hAnsi="Times New Roman"/>
          <w:sz w:val="20"/>
          <w:szCs w:val="20"/>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 xml:space="preserve">Observation 1: </w:t>
      </w:r>
      <w:r>
        <w:rPr>
          <w:lang w:eastAsia="ja-JP"/>
        </w:rPr>
        <w:t>To obtain the ground truth label using the implicit method, the gNB/NG-RAN shall take advantage of the ongoing positioning session in which the gNB/NG-RAN is involved whereas in the explicit method, the gNB/NG-RAN shall initiate the positioning procedure to obtain the GTL.</w:t>
      </w:r>
    </w:p>
    <w:p>
      <w:pPr>
        <w:pStyle w:val="Normal"/>
        <w:pBdr>
          <w:top w:val="single" w:sz="4" w:space="4" w:color="000000"/>
          <w:left w:val="single" w:sz="4" w:space="4" w:color="000000"/>
          <w:bottom w:val="single" w:sz="4" w:space="4" w:color="000000"/>
          <w:right w:val="single" w:sz="4" w:space="4" w:color="000000"/>
        </w:pBdr>
        <w:spacing w:lineRule="auto" w:line="259" w:before="0" w:after="0"/>
        <w:rPr>
          <w:lang w:eastAsia="ja-JP"/>
        </w:rPr>
      </w:pPr>
      <w:r>
        <w:rPr>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Observation</w:t>
      </w:r>
      <w:r>
        <w:rPr>
          <w:b/>
          <w:bCs/>
          <w:lang w:eastAsia="ja-JP"/>
        </w:rPr>
        <w:t xml:space="preserve"> 2: </w:t>
      </w:r>
      <w:r>
        <w:rPr>
          <w:lang w:eastAsia="ja-JP"/>
        </w:rPr>
        <w:t>The UE consent for the data collection shall be required for obtaining the ground truth label using the explicit method.</w:t>
      </w:r>
    </w:p>
    <w:p>
      <w:pPr>
        <w:pStyle w:val="Normal"/>
        <w:pBdr>
          <w:top w:val="single" w:sz="4" w:space="4" w:color="000000"/>
          <w:left w:val="single" w:sz="4" w:space="4" w:color="000000"/>
          <w:bottom w:val="single" w:sz="4" w:space="4" w:color="000000"/>
          <w:right w:val="single" w:sz="4" w:space="4" w:color="000000"/>
        </w:pBdr>
        <w:spacing w:lineRule="auto" w:line="259" w:before="0" w:after="0"/>
        <w:rPr>
          <w:lang w:eastAsia="ja-JP"/>
        </w:rPr>
      </w:pPr>
      <w:r>
        <w:rPr>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Proposal</w:t>
      </w:r>
      <w:r>
        <w:rPr>
          <w:b/>
          <w:bCs/>
          <w:lang w:eastAsia="ja-JP"/>
        </w:rPr>
        <w:t xml:space="preserve"> 1: </w:t>
      </w:r>
      <w:r>
        <w:rPr>
          <w:lang w:eastAsia="ja-JP"/>
        </w:rPr>
        <w:t>RAN 3 shall consider both implicit and explicit methods as captured in Figure 1 for obtaining the ground truth label for the gNB/NG-RAN-side AI/ML model training.</w:t>
      </w:r>
    </w:p>
    <w:p>
      <w:pPr>
        <w:pStyle w:val="B5"/>
        <w:rPr>
          <w:lang w:eastAsia="ja-JP"/>
        </w:rPr>
      </w:pPr>
      <w:r>
        <w:rPr>
          <w:lang w:eastAsia="ja-JP"/>
        </w:rPr>
      </w:r>
    </w:p>
    <w:p>
      <w:pPr>
        <w:pStyle w:val="Normal"/>
        <w:jc w:val="center"/>
        <w:rPr/>
      </w:pPr>
      <w:r>
        <w:drawing>
          <wp:anchor behindDoc="0" distT="0" distB="0" distL="0" distR="0" simplePos="0" locked="0" layoutInCell="1" allowOverlap="1" relativeHeight="11">
            <wp:simplePos x="0" y="0"/>
            <wp:positionH relativeFrom="column">
              <wp:align>center</wp:align>
            </wp:positionH>
            <wp:positionV relativeFrom="paragraph">
              <wp:posOffset>635</wp:posOffset>
            </wp:positionV>
            <wp:extent cx="6081395" cy="477964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6081395" cy="4779645"/>
                    </a:xfrm>
                    <a:prstGeom prst="rect">
                      <a:avLst/>
                    </a:prstGeom>
                  </pic:spPr>
                </pic:pic>
              </a:graphicData>
            </a:graphic>
          </wp:anchor>
        </w:drawing>
      </w:r>
      <w:r>
        <w:rPr>
          <w:b/>
          <w:bCs/>
          <w:lang w:eastAsia="ja-JP"/>
        </w:rPr>
        <w:t>F</w:t>
      </w:r>
      <w:r>
        <w:rPr>
          <w:b/>
          <w:bCs/>
          <w:lang w:eastAsia="ja-JP"/>
        </w:rPr>
        <w:t>igure 1: Possible Options for Obtaining the Ground Truth Label from the LMF</w:t>
      </w:r>
    </w:p>
    <w:p>
      <w:pPr>
        <w:pStyle w:val="Normal"/>
        <w:spacing w:lineRule="auto" w:line="259"/>
        <w:jc w:val="both"/>
        <w:rPr/>
      </w:pPr>
      <w:r>
        <w:rPr/>
      </w:r>
    </w:p>
    <w:p>
      <w:pPr>
        <w:pStyle w:val="Normal"/>
        <w:spacing w:lineRule="auto" w:line="259"/>
        <w:jc w:val="both"/>
        <w:rPr/>
      </w:pPr>
      <w:r>
        <w:rPr/>
        <w:t xml:space="preserve">The implicit method is dependent on the occurrence of the positioning session from location service (LCS) request for a UE connected with the gNB/NG-RAN of interest. The implicit method can be further </w:t>
      </w:r>
      <w:r>
        <w:rPr>
          <w:lang w:eastAsia="en-US"/>
        </w:rPr>
        <w:t>divided</w:t>
      </w:r>
      <w:r>
        <w:rPr/>
        <w:t xml:space="preserve"> into two categories– subscription-based and runtime-based. The subscription-based approach as shown in Figure 2, is where the gNB shall register for GTL subscription at the AMF so that whenever there is an ongoing positioning session involving the gNB (e.g. the target UE in the positioning session is associated with the gNB subscribing the data), the location results are shared with the gNB/NG-RAN by the LMF. The gNB/NG-RAN keeps getting the GTL from the LMF as long as the subscription is active. The gNB/NG-RAN shall send a cancellation request to stop the GTL subscription once the model training is not required. The AMF/LMF may also terminate the subscription based on the relevant policies. The runtime-based method may be initiated by either the gNB/NG-RAN or the LMF. The gNB/NG-RAN shall initiate a GTL request to the LMF as shown in Figure 3, when the gNB/NG-RAN gets involved in a positioning session and there is a requirement for data collection at the gNB/NG-RAN for its AI/ML model. This can be decided based on gNB/NG-RAN capability related to AI/ML model for positioning case 3a. On contrast, the LMF may initiate a query to the gNB/NG-RAN involved with the positioning session whether the gNB/NG-RAN requires the GTL for the AI/ML model training. The LMF may raise this query either during an active positioning session as shown in Figure 4, or after the positioning session is concluded/location estimate is computed as shown in Figure 5. The LMF may also send the GTL in an unsolicited manner to the gNB/NG-RAN after the location computing is done as shown in Figure 6. The LMF-initiated approach is under the assumption that the LMF is aware of the AI/ML capabilities of the involved gNB/NG-RAN </w:t>
      </w:r>
      <w:r>
        <w:rPr>
          <w:b w:val="false"/>
          <w:bCs w:val="false"/>
        </w:rPr>
        <w:t>by either the way of configuration during the deployment or the capability exchange.</w:t>
      </w:r>
    </w:p>
    <w:p>
      <w:pPr>
        <w:pStyle w:val="Normal"/>
        <w:spacing w:lineRule="auto" w:line="259"/>
        <w:jc w:val="center"/>
        <w:rPr/>
      </w:pPr>
      <w: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5635625" cy="4509135"/>
            <wp:effectExtent l="0" t="0" r="0" b="0"/>
            <wp:wrapTopAndBottom/>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tretch>
                      <a:fillRect/>
                    </a:stretch>
                  </pic:blipFill>
                  <pic:spPr bwMode="auto">
                    <a:xfrm>
                      <a:off x="0" y="0"/>
                      <a:ext cx="5635625" cy="4509135"/>
                    </a:xfrm>
                    <a:prstGeom prst="rect">
                      <a:avLst/>
                    </a:prstGeom>
                  </pic:spPr>
                </pic:pic>
              </a:graphicData>
            </a:graphic>
          </wp:anchor>
        </w:drawing>
      </w:r>
      <w:r>
        <w:rPr>
          <w:b/>
          <w:bCs/>
          <w:lang w:eastAsia="ja-JP"/>
        </w:rPr>
        <w:t>F</w:t>
      </w:r>
      <w:r>
        <w:rPr>
          <w:b/>
          <w:bCs/>
          <w:lang w:eastAsia="ja-JP"/>
        </w:rPr>
        <w:t>igure 2: Subscription-based Implicit Method for Obtaining the Ground Truth Label from the LMF</w:t>
      </w:r>
    </w:p>
    <w:p>
      <w:pPr>
        <w:pStyle w:val="Normal"/>
        <w:spacing w:lineRule="auto" w:line="259"/>
        <w:jc w:val="center"/>
        <w:rPr>
          <w:b/>
          <w:b/>
          <w:bCs/>
          <w:lang w:eastAsia="ja-JP"/>
        </w:rPr>
      </w:pPr>
      <w:r>
        <w:rPr>
          <w:b/>
          <w:bCs/>
          <w:lang w:eastAsia="ja-JP"/>
        </w:rPr>
      </w:r>
    </w:p>
    <w:p>
      <w:pPr>
        <w:pStyle w:val="Normal"/>
        <w:spacing w:lineRule="auto" w:line="259"/>
        <w:jc w:val="center"/>
        <w:rPr/>
      </w:pPr>
      <w: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5366385" cy="3932555"/>
            <wp:effectExtent l="0" t="0" r="0" b="0"/>
            <wp:wrapTopAndBottom/>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4"/>
                    <a:stretch>
                      <a:fillRect/>
                    </a:stretch>
                  </pic:blipFill>
                  <pic:spPr bwMode="auto">
                    <a:xfrm>
                      <a:off x="0" y="0"/>
                      <a:ext cx="5366385" cy="3932555"/>
                    </a:xfrm>
                    <a:prstGeom prst="rect">
                      <a:avLst/>
                    </a:prstGeom>
                  </pic:spPr>
                </pic:pic>
              </a:graphicData>
            </a:graphic>
          </wp:anchor>
        </w:drawing>
      </w:r>
      <w:r>
        <w:rPr>
          <w:b/>
          <w:bCs/>
          <w:lang w:eastAsia="ja-JP"/>
        </w:rPr>
        <w:t>F</w:t>
      </w:r>
      <w:r>
        <w:rPr>
          <w:b/>
          <w:bCs/>
          <w:lang w:eastAsia="ja-JP"/>
        </w:rPr>
        <w:t>igure 3: NG-RAN-initiated Runtime-based Implicit Method for Obtaining the Ground Truth Label from the LMF</w:t>
      </w:r>
    </w:p>
    <w:p>
      <w:pPr>
        <w:pStyle w:val="Normal"/>
        <w:spacing w:lineRule="auto" w:line="259"/>
        <w:jc w:val="center"/>
        <w:rPr>
          <w:b/>
          <w:b/>
          <w:bCs/>
          <w:lang w:eastAsia="ja-JP"/>
        </w:rPr>
      </w:pPr>
      <w:r>
        <w:rPr>
          <w:b/>
          <w:bCs/>
          <w:lang w:eastAsia="ja-JP"/>
        </w:rPr>
      </w:r>
    </w:p>
    <w:p>
      <w:pPr>
        <w:pStyle w:val="Normal"/>
        <w:spacing w:lineRule="auto" w:line="259"/>
        <w:jc w:val="center"/>
        <w:rPr/>
      </w:pPr>
      <w:r>
        <w:drawing>
          <wp:anchor behindDoc="0" distT="0" distB="0" distL="0" distR="0" simplePos="0" locked="0" layoutInCell="1" allowOverlap="1" relativeHeight="4">
            <wp:simplePos x="0" y="0"/>
            <wp:positionH relativeFrom="column">
              <wp:align>center</wp:align>
            </wp:positionH>
            <wp:positionV relativeFrom="paragraph">
              <wp:posOffset>635</wp:posOffset>
            </wp:positionV>
            <wp:extent cx="5368925" cy="4309110"/>
            <wp:effectExtent l="0" t="0" r="0" b="0"/>
            <wp:wrapTopAndBottom/>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5"/>
                    <a:stretch>
                      <a:fillRect/>
                    </a:stretch>
                  </pic:blipFill>
                  <pic:spPr bwMode="auto">
                    <a:xfrm>
                      <a:off x="0" y="0"/>
                      <a:ext cx="5368925" cy="4309110"/>
                    </a:xfrm>
                    <a:prstGeom prst="rect">
                      <a:avLst/>
                    </a:prstGeom>
                  </pic:spPr>
                </pic:pic>
              </a:graphicData>
            </a:graphic>
          </wp:anchor>
        </w:drawing>
      </w:r>
      <w:r>
        <w:rPr>
          <w:b/>
          <w:bCs/>
          <w:lang w:eastAsia="ja-JP"/>
        </w:rPr>
        <w:t>F</w:t>
      </w:r>
      <w:r>
        <w:rPr>
          <w:b/>
          <w:bCs/>
          <w:lang w:eastAsia="ja-JP"/>
        </w:rPr>
        <w:t>igure 4: LMF-initiated Runtime-based Implicit Method Requesting NG-RAN for GTL Requirement During an Active Positioning Session</w:t>
      </w:r>
    </w:p>
    <w:p>
      <w:pPr>
        <w:pStyle w:val="Normal"/>
        <w:spacing w:lineRule="auto" w:line="259"/>
        <w:jc w:val="center"/>
        <w:rPr/>
      </w:pPr>
      <w:r>
        <w:drawing>
          <wp:anchor behindDoc="0" distT="0" distB="0" distL="0" distR="0" simplePos="0" locked="0" layoutInCell="1" allowOverlap="1" relativeHeight="5">
            <wp:simplePos x="0" y="0"/>
            <wp:positionH relativeFrom="column">
              <wp:align>center</wp:align>
            </wp:positionH>
            <wp:positionV relativeFrom="paragraph">
              <wp:posOffset>635</wp:posOffset>
            </wp:positionV>
            <wp:extent cx="5457825" cy="4380230"/>
            <wp:effectExtent l="0" t="0" r="0" b="0"/>
            <wp:wrapTopAndBottom/>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embed="rId6"/>
                    <a:stretch>
                      <a:fillRect/>
                    </a:stretch>
                  </pic:blipFill>
                  <pic:spPr bwMode="auto">
                    <a:xfrm>
                      <a:off x="0" y="0"/>
                      <a:ext cx="5457825" cy="4380230"/>
                    </a:xfrm>
                    <a:prstGeom prst="rect">
                      <a:avLst/>
                    </a:prstGeom>
                  </pic:spPr>
                </pic:pic>
              </a:graphicData>
            </a:graphic>
          </wp:anchor>
        </w:drawing>
      </w:r>
      <w:r>
        <w:rPr>
          <w:b/>
          <w:bCs/>
          <w:lang w:eastAsia="ja-JP"/>
        </w:rPr>
        <w:t>F</w:t>
      </w:r>
      <w:r>
        <w:rPr>
          <w:b/>
          <w:bCs/>
          <w:lang w:eastAsia="ja-JP"/>
        </w:rPr>
        <w:t>igure 5: LMF-initiated Runtime-based Implicit Method Requesting NG-RAN for GTL Requirement After an Active Positioning Session</w:t>
      </w:r>
    </w:p>
    <w:p>
      <w:pPr>
        <w:pStyle w:val="Normal"/>
        <w:spacing w:lineRule="auto" w:line="259"/>
        <w:jc w:val="center"/>
        <w:rPr>
          <w:b/>
          <w:b/>
          <w:bCs/>
          <w:lang w:eastAsia="ja-JP"/>
        </w:rPr>
      </w:pPr>
      <w:r>
        <w:rPr>
          <w:b/>
          <w:bCs/>
          <w:lang w:eastAsia="ja-JP"/>
        </w:rPr>
      </w:r>
    </w:p>
    <w:p>
      <w:pPr>
        <w:pStyle w:val="Normal"/>
        <w:spacing w:lineRule="auto" w:line="259"/>
        <w:jc w:val="center"/>
        <w:rPr/>
      </w:pPr>
      <w:r>
        <w:drawing>
          <wp:anchor behindDoc="0" distT="0" distB="0" distL="0" distR="0" simplePos="0" locked="0" layoutInCell="1" allowOverlap="1" relativeHeight="6">
            <wp:simplePos x="0" y="0"/>
            <wp:positionH relativeFrom="column">
              <wp:align>center</wp:align>
            </wp:positionH>
            <wp:positionV relativeFrom="paragraph">
              <wp:posOffset>635</wp:posOffset>
            </wp:positionV>
            <wp:extent cx="5895340" cy="3498215"/>
            <wp:effectExtent l="0" t="0" r="0" b="0"/>
            <wp:wrapSquare wrapText="largest"/>
            <wp:docPr id="6"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descr=""/>
                    <pic:cNvPicPr>
                      <a:picLocks noChangeAspect="1" noChangeArrowheads="1"/>
                    </pic:cNvPicPr>
                  </pic:nvPicPr>
                  <pic:blipFill>
                    <a:blip r:embed="rId7"/>
                    <a:stretch>
                      <a:fillRect/>
                    </a:stretch>
                  </pic:blipFill>
                  <pic:spPr bwMode="auto">
                    <a:xfrm>
                      <a:off x="0" y="0"/>
                      <a:ext cx="5895340" cy="3498215"/>
                    </a:xfrm>
                    <a:prstGeom prst="rect">
                      <a:avLst/>
                    </a:prstGeom>
                  </pic:spPr>
                </pic:pic>
              </a:graphicData>
            </a:graphic>
          </wp:anchor>
        </w:drawing>
      </w:r>
      <w:r>
        <w:rPr>
          <w:b/>
          <w:bCs/>
          <w:lang w:eastAsia="ja-JP"/>
        </w:rPr>
        <w:t>F</w:t>
      </w:r>
      <w:r>
        <w:rPr>
          <w:b/>
          <w:bCs/>
          <w:lang w:eastAsia="ja-JP"/>
        </w:rPr>
        <w:t>igure 6: LMF-initiated Runtime-based Implicit Method to Send GTL in an Unsolicited Manner to the NG-RAN</w:t>
      </w:r>
    </w:p>
    <w:p>
      <w:pPr>
        <w:pStyle w:val="Normal"/>
        <w:spacing w:lineRule="auto" w:line="259"/>
        <w:jc w:val="center"/>
        <w:rPr>
          <w:b/>
          <w:b/>
          <w:bCs/>
          <w:lang w:eastAsia="ja-JP"/>
        </w:rPr>
      </w:pPr>
      <w:r>
        <w:rPr>
          <w:b/>
          <w:bCs/>
          <w:lang w:eastAsia="ja-JP"/>
        </w:rPr>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3:</w:t>
      </w:r>
      <w:r>
        <w:rPr/>
        <w:t xml:space="preserve"> The implicit method for obtaining the GTL is in compliance with the WA that the LMF starts a NRPPa transaction.</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4:</w:t>
      </w:r>
      <w:r>
        <w:rPr/>
        <w:tab/>
        <w:t>The subscription-based implicit method for obtaining the GTL may be better organized from the implementation perspective.</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5:</w:t>
      </w:r>
      <w:r>
        <w:rPr/>
        <w:tab/>
        <w:t>The NG-RAN-initiated runtime-based implicit method for obtaining the GTL needs the gNB/NG-RAN to indicate the GTL requirement during an active positioning session.</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6:</w:t>
      </w:r>
      <w:r>
        <w:rPr/>
        <w:tab/>
        <w:t>The LMF-initiated runtime-based implicit method for obtaining the GTL needs the LMF to be aware of the AI/ML capabilities of the NG-RAN by either the way of configuration during the deployment or the capability exchange.</w:t>
      </w:r>
    </w:p>
    <w:p>
      <w:pPr>
        <w:pStyle w:val="NO"/>
        <w:pBdr>
          <w:top w:val="single" w:sz="4" w:space="4" w:color="000000"/>
          <w:left w:val="single" w:sz="4" w:space="4" w:color="000000"/>
          <w:bottom w:val="single" w:sz="4" w:space="4" w:color="000000"/>
          <w:right w:val="single" w:sz="4" w:space="4" w:color="000000"/>
        </w:pBdr>
        <w:ind w:left="0" w:hanging="0"/>
        <w:rPr/>
      </w:pPr>
      <w:r>
        <w:rPr>
          <w:b/>
          <w:bCs/>
        </w:rPr>
        <w:t>Proposal 2:</w:t>
      </w:r>
      <w:r>
        <w:rPr/>
        <w:t xml:space="preserve"> In the implicit GTL acquisition method, the NG-RAN may indicate the GTL requirement: </w:t>
      </w:r>
    </w:p>
    <w:p>
      <w:pPr>
        <w:pStyle w:val="NO"/>
        <w:pBdr>
          <w:top w:val="single" w:sz="4" w:space="4" w:color="000000"/>
          <w:left w:val="single" w:sz="4" w:space="4" w:color="000000"/>
          <w:bottom w:val="single" w:sz="4" w:space="4" w:color="000000"/>
          <w:right w:val="single" w:sz="4" w:space="4" w:color="000000"/>
        </w:pBdr>
        <w:ind w:left="0" w:hanging="0"/>
        <w:rPr/>
      </w:pPr>
      <w:r>
        <w:rPr/>
        <w:t xml:space="preserve">          </w:t>
      </w:r>
      <w:r>
        <w:rPr/>
        <w:t>A. using subscription for the AI/ML GTL data with the AMF;</w:t>
      </w:r>
    </w:p>
    <w:p>
      <w:pPr>
        <w:pStyle w:val="NO"/>
        <w:pBdr>
          <w:top w:val="single" w:sz="4" w:space="4" w:color="000000"/>
          <w:left w:val="single" w:sz="4" w:space="4" w:color="000000"/>
          <w:bottom w:val="single" w:sz="4" w:space="4" w:color="000000"/>
          <w:right w:val="single" w:sz="4" w:space="4" w:color="000000"/>
        </w:pBdr>
        <w:ind w:left="0" w:hanging="0"/>
        <w:rPr/>
      </w:pPr>
      <w:r>
        <w:rPr/>
        <w:t xml:space="preserve">          </w:t>
      </w:r>
      <w:r>
        <w:rPr/>
        <w:t xml:space="preserve">B. using run-time request during the positioning session involving the NG-RAN using the NRPPa IE in the ongoing positioning session. </w:t>
      </w:r>
    </w:p>
    <w:p>
      <w:pPr>
        <w:pStyle w:val="Normal"/>
        <w:spacing w:lineRule="auto" w:line="259"/>
        <w:jc w:val="both"/>
        <w:rPr/>
      </w:pPr>
      <w:r>
        <w:rPr/>
      </w:r>
    </w:p>
    <w:p>
      <w:pPr>
        <w:pStyle w:val="Normal"/>
        <w:spacing w:lineRule="auto" w:line="259"/>
        <w:jc w:val="both"/>
        <w:rPr/>
      </w:pPr>
      <w:r>
        <w:rPr/>
        <w:t xml:space="preserve">The explicit method provides a greater control for the gNB/NG-RAN to train the AI/ML model so that the gNB/NG-RAN may initiate a request for starting a positioning session to acquire the GTL based on the LCM state of the AI/ML model in the gNB/NG-RAN as shown in Figures 7, 8, 9, and 10. Since this approach is not tied to any ongoing positioning session, the LMF discovery and the selection may need to be performed by the AMF. The gNB/NG-RAN may provide a list of suitable UE(s) for which the GTL is required (Figures 7 and 9). But there is no guarantee that the UE(s) in the list may provide consent for the data collection. The gNB/NG-RAN may alternatively let the AMF decide the list of UE(s) (Figures 8 and 10). Here, the AMF seeks the consent of the UE(s) and only chooses the ones that allow the data collection. The gNB/NG-RAN shall initiate the request for the GTL/positioning session either using the </w:t>
      </w:r>
      <w:r>
        <w:rPr>
          <w:lang w:eastAsia="en-US"/>
        </w:rPr>
        <w:t>NGAP</w:t>
      </w:r>
      <w:r>
        <w:rPr/>
        <w:t xml:space="preserve"> message (Figures 7 and 8) or the </w:t>
      </w:r>
      <w:r>
        <w:rPr>
          <w:lang w:eastAsia="en-US"/>
        </w:rPr>
        <w:t>NRPPa</w:t>
      </w:r>
      <w:r>
        <w:rPr/>
        <w:t xml:space="preserve"> </w:t>
      </w:r>
      <w:r>
        <w:rPr>
          <w:lang w:eastAsia="en-US"/>
        </w:rPr>
        <w:t>PDU</w:t>
      </w:r>
      <w:r>
        <w:rPr/>
        <w:t xml:space="preserve"> message (Figures 9 and 10). The LMF may decide to initiate the positioning session for the list of UE(s) provided or send the PRU information if available or both.</w:t>
      </w:r>
    </w:p>
    <w:p>
      <w:pPr>
        <w:pStyle w:val="Normal"/>
        <w:spacing w:lineRule="auto" w:line="259"/>
        <w:jc w:val="center"/>
        <w:rPr/>
      </w:pPr>
      <w:r>
        <w:drawing>
          <wp:anchor behindDoc="0" distT="0" distB="0" distL="0" distR="0" simplePos="0" locked="0" layoutInCell="1" allowOverlap="1" relativeHeight="7">
            <wp:simplePos x="0" y="0"/>
            <wp:positionH relativeFrom="column">
              <wp:align>center</wp:align>
            </wp:positionH>
            <wp:positionV relativeFrom="paragraph">
              <wp:posOffset>635</wp:posOffset>
            </wp:positionV>
            <wp:extent cx="5376545" cy="5759450"/>
            <wp:effectExtent l="0" t="0" r="0" b="0"/>
            <wp:wrapTopAndBottom/>
            <wp:docPr id="7"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descr=""/>
                    <pic:cNvPicPr>
                      <a:picLocks noChangeAspect="1" noChangeArrowheads="1"/>
                    </pic:cNvPicPr>
                  </pic:nvPicPr>
                  <pic:blipFill>
                    <a:blip r:embed="rId8"/>
                    <a:stretch>
                      <a:fillRect/>
                    </a:stretch>
                  </pic:blipFill>
                  <pic:spPr bwMode="auto">
                    <a:xfrm>
                      <a:off x="0" y="0"/>
                      <a:ext cx="5376545" cy="5759450"/>
                    </a:xfrm>
                    <a:prstGeom prst="rect">
                      <a:avLst/>
                    </a:prstGeom>
                  </pic:spPr>
                </pic:pic>
              </a:graphicData>
            </a:graphic>
          </wp:anchor>
        </w:drawing>
      </w:r>
      <w:r>
        <w:rPr>
          <w:b/>
          <w:bCs/>
          <w:lang w:eastAsia="ja-JP"/>
        </w:rPr>
        <w:t>F</w:t>
      </w:r>
      <w:r>
        <w:rPr>
          <w:b/>
          <w:bCs/>
          <w:lang w:eastAsia="ja-JP"/>
        </w:rPr>
        <w:t>igure 7: Explicit Method to Obtain GTL from the LMF using NGAP Message Containing List of UE(s)</w:t>
      </w:r>
    </w:p>
    <w:p>
      <w:pPr>
        <w:pStyle w:val="Normal"/>
        <w:spacing w:lineRule="auto" w:line="259"/>
        <w:jc w:val="center"/>
        <w:rPr/>
      </w:pPr>
      <w:r>
        <w:drawing>
          <wp:anchor behindDoc="0" distT="0" distB="0" distL="0" distR="0" simplePos="0" locked="0" layoutInCell="1" allowOverlap="1" relativeHeight="8">
            <wp:simplePos x="0" y="0"/>
            <wp:positionH relativeFrom="column">
              <wp:align>center</wp:align>
            </wp:positionH>
            <wp:positionV relativeFrom="paragraph">
              <wp:posOffset>635</wp:posOffset>
            </wp:positionV>
            <wp:extent cx="5367020" cy="5440680"/>
            <wp:effectExtent l="0" t="0" r="0" b="0"/>
            <wp:wrapTopAndBottom/>
            <wp:docPr id="8"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 descr=""/>
                    <pic:cNvPicPr>
                      <a:picLocks noChangeAspect="1" noChangeArrowheads="1"/>
                    </pic:cNvPicPr>
                  </pic:nvPicPr>
                  <pic:blipFill>
                    <a:blip r:embed="rId9"/>
                    <a:stretch>
                      <a:fillRect/>
                    </a:stretch>
                  </pic:blipFill>
                  <pic:spPr bwMode="auto">
                    <a:xfrm>
                      <a:off x="0" y="0"/>
                      <a:ext cx="5367020" cy="5440680"/>
                    </a:xfrm>
                    <a:prstGeom prst="rect">
                      <a:avLst/>
                    </a:prstGeom>
                  </pic:spPr>
                </pic:pic>
              </a:graphicData>
            </a:graphic>
          </wp:anchor>
        </w:drawing>
      </w:r>
      <w:r>
        <w:rPr>
          <w:b/>
          <w:bCs/>
          <w:lang w:eastAsia="ja-JP"/>
        </w:rPr>
        <w:t>F</w:t>
      </w:r>
      <w:r>
        <w:rPr>
          <w:b/>
          <w:bCs/>
          <w:lang w:eastAsia="ja-JP"/>
        </w:rPr>
        <w:t>igure 8: Explicit Method to Obtain GTL from the LMF using NGAP Message Without List of UE(s)</w:t>
      </w:r>
    </w:p>
    <w:p>
      <w:pPr>
        <w:pStyle w:val="Normal"/>
        <w:spacing w:lineRule="auto" w:line="259"/>
        <w:jc w:val="center"/>
        <w:rPr/>
      </w:pPr>
      <w:r>
        <w:drawing>
          <wp:anchor behindDoc="0" distT="0" distB="0" distL="0" distR="0" simplePos="0" locked="0" layoutInCell="1" allowOverlap="1" relativeHeight="10">
            <wp:simplePos x="0" y="0"/>
            <wp:positionH relativeFrom="column">
              <wp:align>center</wp:align>
            </wp:positionH>
            <wp:positionV relativeFrom="paragraph">
              <wp:posOffset>635</wp:posOffset>
            </wp:positionV>
            <wp:extent cx="5380355" cy="6762115"/>
            <wp:effectExtent l="0" t="0" r="0" b="0"/>
            <wp:wrapTopAndBottom/>
            <wp:docPr id="9" name="Image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0" descr=""/>
                    <pic:cNvPicPr>
                      <a:picLocks noChangeAspect="1" noChangeArrowheads="1"/>
                    </pic:cNvPicPr>
                  </pic:nvPicPr>
                  <pic:blipFill>
                    <a:blip r:embed="rId10"/>
                    <a:stretch>
                      <a:fillRect/>
                    </a:stretch>
                  </pic:blipFill>
                  <pic:spPr bwMode="auto">
                    <a:xfrm>
                      <a:off x="0" y="0"/>
                      <a:ext cx="5380355" cy="6762115"/>
                    </a:xfrm>
                    <a:prstGeom prst="rect">
                      <a:avLst/>
                    </a:prstGeom>
                  </pic:spPr>
                </pic:pic>
              </a:graphicData>
            </a:graphic>
          </wp:anchor>
        </w:drawing>
      </w:r>
      <w:r>
        <w:rPr>
          <w:b/>
          <w:bCs/>
          <w:lang w:eastAsia="ja-JP"/>
        </w:rPr>
        <w:t>F</w:t>
      </w:r>
      <w:r>
        <w:rPr>
          <w:b/>
          <w:bCs/>
          <w:lang w:eastAsia="ja-JP"/>
        </w:rPr>
        <w:t>igure 9: Explicit Method to Obtain GTL from the LMF using NRPPa PDU Containing List of UE(s)</w:t>
      </w:r>
    </w:p>
    <w:p>
      <w:pPr>
        <w:pStyle w:val="Normal"/>
        <w:spacing w:lineRule="auto" w:line="259"/>
        <w:jc w:val="center"/>
        <w:rPr/>
      </w:pPr>
      <w:r>
        <w:drawing>
          <wp:anchor behindDoc="0" distT="0" distB="0" distL="0" distR="0" simplePos="0" locked="0" layoutInCell="1" allowOverlap="1" relativeHeight="9">
            <wp:simplePos x="0" y="0"/>
            <wp:positionH relativeFrom="column">
              <wp:align>center</wp:align>
            </wp:positionH>
            <wp:positionV relativeFrom="paragraph">
              <wp:posOffset>635</wp:posOffset>
            </wp:positionV>
            <wp:extent cx="5472430" cy="6798945"/>
            <wp:effectExtent l="0" t="0" r="0" b="0"/>
            <wp:wrapTopAndBottom/>
            <wp:docPr id="10" name="Imag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9" descr=""/>
                    <pic:cNvPicPr>
                      <a:picLocks noChangeAspect="1" noChangeArrowheads="1"/>
                    </pic:cNvPicPr>
                  </pic:nvPicPr>
                  <pic:blipFill>
                    <a:blip r:embed="rId11"/>
                    <a:stretch>
                      <a:fillRect/>
                    </a:stretch>
                  </pic:blipFill>
                  <pic:spPr bwMode="auto">
                    <a:xfrm>
                      <a:off x="0" y="0"/>
                      <a:ext cx="5472430" cy="6798945"/>
                    </a:xfrm>
                    <a:prstGeom prst="rect">
                      <a:avLst/>
                    </a:prstGeom>
                  </pic:spPr>
                </pic:pic>
              </a:graphicData>
            </a:graphic>
          </wp:anchor>
        </w:drawing>
      </w:r>
      <w:r>
        <w:rPr>
          <w:b/>
          <w:bCs/>
          <w:lang w:eastAsia="ja-JP"/>
        </w:rPr>
        <w:t>F</w:t>
      </w:r>
      <w:r>
        <w:rPr>
          <w:b/>
          <w:bCs/>
          <w:lang w:eastAsia="ja-JP"/>
        </w:rPr>
        <w:t>igure 10: Explicit Method to Obtain GTL from the LMF using NRPPa PDU Without List of UE(s)</w:t>
      </w:r>
    </w:p>
    <w:p>
      <w:pPr>
        <w:pStyle w:val="Normal"/>
        <w:spacing w:lineRule="auto" w:line="259"/>
        <w:jc w:val="center"/>
        <w:rPr>
          <w:b/>
          <w:b/>
          <w:bCs/>
          <w:lang w:eastAsia="ja-JP"/>
        </w:rPr>
      </w:pPr>
      <w:r>
        <w:rPr>
          <w:b/>
          <w:bCs/>
          <w:lang w:eastAsia="ja-JP"/>
        </w:rPr>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7:</w:t>
      </w:r>
      <w:r>
        <w:rPr/>
        <w:tab/>
        <w:t>The explicit method using NGAP message for obtaining the GTL may be better organized from the implementation perspective and is in compliance with the WA that the LMF starts a NRPPa transaction. Further this method has less standard impact from RAN 3 as well as from other working group point of view (e.g. SA2).</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8:</w:t>
      </w:r>
      <w:r>
        <w:rPr/>
        <w:tab/>
        <w:t xml:space="preserve"> The explicit method using NRPPa PDU for obtaining the GTL may have some challenges at the AMF to select a suitable LMF since the AMF cannot decode the contents of the NRPPa PDU and is in contrast with the WA that the LMF starts a NRPPa transaction.</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9:</w:t>
      </w:r>
      <w:r>
        <w:rPr/>
        <w:tab/>
        <w:t>Obtaining the consent of UE(s) when using the NRPPa PDU approach may add additional signaling overheads.</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10:</w:t>
      </w:r>
      <w:r>
        <w:rPr/>
        <w:tab/>
        <w:t>The NG-RAN providing the UE list as part of the GTL request may be best suited for optimized AI/ML model training but the consent of the UE(s) in the list cannot be guaranteed.</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11:</w:t>
      </w:r>
      <w:r>
        <w:rPr/>
        <w:tab/>
        <w:t>The AMF selecting the UE list guarantees the UE consent but may not be optimized for the gNB-side AI/ML model training requirements.</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12:</w:t>
      </w:r>
      <w:r>
        <w:rPr/>
        <w:tab/>
        <w:t xml:space="preserve">The </w:t>
      </w:r>
      <w:r>
        <w:rPr>
          <w:lang w:eastAsia="en-US"/>
        </w:rPr>
        <w:t>LMF shall decide based on the availability of PRU information whether to start the positioning session for the list of UE(s) included in the GTL request.</w:t>
      </w:r>
    </w:p>
    <w:p>
      <w:pPr>
        <w:pStyle w:val="NO"/>
        <w:pBdr>
          <w:top w:val="single" w:sz="4" w:space="4" w:color="000000"/>
          <w:left w:val="single" w:sz="4" w:space="4" w:color="000000"/>
          <w:bottom w:val="single" w:sz="4" w:space="4" w:color="000000"/>
          <w:right w:val="single" w:sz="4" w:space="4" w:color="000000"/>
        </w:pBdr>
        <w:ind w:left="0" w:hanging="0"/>
        <w:rPr/>
      </w:pPr>
      <w:r>
        <w:rPr>
          <w:b/>
          <w:bCs/>
        </w:rPr>
        <w:t>Proposal 3:</w:t>
      </w:r>
      <w:r>
        <w:rPr/>
        <w:t xml:space="preserve"> The explicit method using the NGAP message for obtaining the GTL </w:t>
      </w:r>
      <w:r>
        <w:rPr>
          <w:lang w:eastAsia="en-US"/>
        </w:rPr>
        <w:t>shall</w:t>
      </w:r>
      <w:r>
        <w:rPr/>
        <w:t xml:space="preserve"> be supported. </w:t>
      </w:r>
    </w:p>
    <w:p>
      <w:pPr>
        <w:pStyle w:val="NO"/>
        <w:pBdr>
          <w:top w:val="single" w:sz="4" w:space="4" w:color="000000"/>
          <w:left w:val="single" w:sz="4" w:space="4" w:color="000000"/>
          <w:bottom w:val="single" w:sz="4" w:space="4" w:color="000000"/>
          <w:right w:val="single" w:sz="4" w:space="4" w:color="000000"/>
        </w:pBdr>
        <w:ind w:left="0" w:hanging="0"/>
        <w:rPr/>
      </w:pPr>
      <w:r>
        <w:rPr>
          <w:b/>
          <w:bCs/>
        </w:rPr>
        <w:t>Proposal 4:</w:t>
      </w:r>
      <w:r>
        <w:rPr/>
        <w:t xml:space="preserve"> The explicit method for the GTL acquisition </w:t>
      </w:r>
      <w:r>
        <w:rPr>
          <w:lang w:eastAsia="en-US"/>
        </w:rPr>
        <w:t>shall support the NG-RAN</w:t>
      </w:r>
      <w:r>
        <w:rPr/>
        <w:t xml:space="preserve"> providing the UE list for which  the GTL is expected to the AMF or the AMF selecting the list of UE(s) based on the UE association with the NG-RAN.  </w:t>
      </w:r>
    </w:p>
    <w:p>
      <w:pPr>
        <w:pStyle w:val="Normal"/>
        <w:rPr/>
      </w:pPr>
      <w:r>
        <w:rPr/>
      </w:r>
    </w:p>
    <w:p>
      <w:pPr>
        <w:pStyle w:val="Heading1"/>
        <w:rPr/>
      </w:pPr>
      <w:r>
        <w:rPr>
          <w:rFonts w:ascii="Times New Roman" w:hAnsi="Times New Roman"/>
          <w:b/>
          <w:bCs/>
        </w:rPr>
        <w:t>5.</w:t>
      </w:r>
      <w:r>
        <w:rPr/>
        <w:tab/>
      </w:r>
      <w:r>
        <w:rPr>
          <w:rFonts w:ascii="Times New Roman" w:hAnsi="Times New Roman"/>
          <w:b/>
          <w:bCs/>
        </w:rPr>
        <w:t>Conclusion</w:t>
      </w:r>
    </w:p>
    <w:p>
      <w:pPr>
        <w:pStyle w:val="Normal"/>
        <w:rPr/>
      </w:pPr>
      <w:r>
        <w:rPr/>
        <w:t>The following proposals are made in this document.</w:t>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lang w:eastAsia="ja-JP"/>
        </w:rPr>
        <w:t xml:space="preserve">Observation 1: </w:t>
      </w:r>
      <w:r>
        <w:rPr>
          <w:lang w:eastAsia="ja-JP"/>
        </w:rPr>
        <w:t>To obtain the ground truth label using the implicit method, the gNB/NG-RAN shall take advantage of the ongoing positioning session in which the gNB/NG-RAN is involved whereas in the explicit method, the gNB/NG-RAN shall initiate the positioning procedure to obtain the GTL.</w:t>
      </w:r>
    </w:p>
    <w:p>
      <w:pPr>
        <w:pStyle w:val="Normal"/>
        <w:pBdr>
          <w:top w:val="single" w:sz="4" w:space="4" w:color="000000"/>
          <w:left w:val="single" w:sz="4" w:space="4" w:color="000000"/>
          <w:bottom w:val="single" w:sz="4" w:space="4" w:color="000000"/>
          <w:right w:val="single" w:sz="4" w:space="4" w:color="000000"/>
        </w:pBdr>
        <w:spacing w:lineRule="auto" w:line="259" w:before="0" w:after="0"/>
        <w:rPr>
          <w:lang w:eastAsia="ja-JP"/>
        </w:rPr>
      </w:pPr>
      <w:r>
        <w:rPr>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rPr>
        <w:t>Observation</w:t>
      </w:r>
      <w:r>
        <w:rPr>
          <w:b/>
          <w:bCs/>
          <w:lang w:eastAsia="ja-JP"/>
        </w:rPr>
        <w:t xml:space="preserve"> 2: </w:t>
      </w:r>
      <w:r>
        <w:rPr>
          <w:lang w:eastAsia="ja-JP"/>
        </w:rPr>
        <w:t>The UE consent for the data collection shall be required for obtaining the ground truth label using the explicit method.</w:t>
      </w:r>
    </w:p>
    <w:p>
      <w:pPr>
        <w:pStyle w:val="Normal"/>
        <w:pBdr>
          <w:top w:val="single" w:sz="4" w:space="4" w:color="000000"/>
          <w:left w:val="single" w:sz="4" w:space="4" w:color="000000"/>
          <w:bottom w:val="single" w:sz="4" w:space="4" w:color="000000"/>
          <w:right w:val="single" w:sz="4" w:space="4" w:color="000000"/>
        </w:pBdr>
        <w:spacing w:lineRule="auto" w:line="259" w:before="0" w:after="0"/>
        <w:rPr>
          <w:lang w:eastAsia="ja-JP"/>
        </w:rPr>
      </w:pPr>
      <w:r>
        <w:rPr>
          <w:lang w:eastAsia="ja-JP"/>
        </w:rPr>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b/>
          <w:bCs/>
          <w:lang w:eastAsia="ja-JP"/>
        </w:rPr>
        <w:t xml:space="preserve">Proposal 1: </w:t>
      </w:r>
      <w:r>
        <w:rPr>
          <w:lang w:eastAsia="ja-JP"/>
        </w:rPr>
        <w:t>RAN 3 shall consider both implicit and explicit methods as captured in Figure 1 for obtaining the ground truth label for the gNB/NG-RAN-side AI/ML model training.</w:t>
      </w:r>
    </w:p>
    <w:p>
      <w:pPr>
        <w:pStyle w:val="Normal"/>
        <w:pBdr>
          <w:top w:val="single" w:sz="4" w:space="4" w:color="000000"/>
          <w:left w:val="single" w:sz="4" w:space="4" w:color="000000"/>
          <w:bottom w:val="single" w:sz="4" w:space="4" w:color="000000"/>
          <w:right w:val="single" w:sz="4" w:space="4" w:color="000000"/>
        </w:pBdr>
        <w:spacing w:lineRule="auto" w:line="259" w:before="0" w:after="0"/>
        <w:rPr>
          <w:b/>
          <w:b/>
          <w:bCs/>
        </w:rPr>
      </w:pPr>
      <w:r>
        <w:rPr>
          <w:b/>
          <w:bCs/>
        </w:rPr>
      </w:r>
    </w:p>
    <w:p>
      <w:pPr>
        <w:pStyle w:val="Normal"/>
        <w:pBdr>
          <w:top w:val="single" w:sz="4" w:space="4" w:color="000000"/>
          <w:left w:val="single" w:sz="4" w:space="4" w:color="000000"/>
          <w:bottom w:val="single" w:sz="4" w:space="4" w:color="000000"/>
          <w:right w:val="single" w:sz="4" w:space="4" w:color="000000"/>
        </w:pBdr>
        <w:spacing w:lineRule="auto" w:line="259" w:before="0" w:after="0"/>
        <w:jc w:val="center"/>
        <w:rPr/>
      </w:pPr>
      <w:r>
        <w:drawing>
          <wp:anchor behindDoc="0" distT="0" distB="0" distL="0" distR="0" simplePos="0" locked="0" layoutInCell="1" allowOverlap="1" relativeHeight="12">
            <wp:simplePos x="0" y="0"/>
            <wp:positionH relativeFrom="column">
              <wp:align>center</wp:align>
            </wp:positionH>
            <wp:positionV relativeFrom="paragraph">
              <wp:posOffset>635</wp:posOffset>
            </wp:positionV>
            <wp:extent cx="6081395" cy="4779645"/>
            <wp:effectExtent l="0" t="0" r="0" b="0"/>
            <wp:wrapSquare wrapText="largest"/>
            <wp:docPr id="11" name="Image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1" descr=""/>
                    <pic:cNvPicPr>
                      <a:picLocks noChangeAspect="1" noChangeArrowheads="1"/>
                    </pic:cNvPicPr>
                  </pic:nvPicPr>
                  <pic:blipFill>
                    <a:blip r:embed="rId12"/>
                    <a:stretch>
                      <a:fillRect/>
                    </a:stretch>
                  </pic:blipFill>
                  <pic:spPr bwMode="auto">
                    <a:xfrm>
                      <a:off x="0" y="0"/>
                      <a:ext cx="6081395" cy="4779645"/>
                    </a:xfrm>
                    <a:prstGeom prst="rect">
                      <a:avLst/>
                    </a:prstGeom>
                  </pic:spPr>
                </pic:pic>
              </a:graphicData>
            </a:graphic>
          </wp:anchor>
        </w:drawing>
      </w:r>
      <w:r>
        <w:rPr>
          <w:b/>
          <w:bCs/>
          <w:lang w:eastAsia="ja-JP"/>
        </w:rPr>
        <w:t>F</w:t>
      </w:r>
      <w:r>
        <w:rPr>
          <w:b/>
          <w:bCs/>
          <w:lang w:eastAsia="ja-JP"/>
        </w:rPr>
        <w:t>igure 1: Possible Options for Obtaining the Ground Truth Label from the LMF</w:t>
      </w:r>
    </w:p>
    <w:p>
      <w:pPr>
        <w:pStyle w:val="Normal"/>
        <w:pBdr>
          <w:top w:val="single" w:sz="4" w:space="4" w:color="000000"/>
          <w:left w:val="single" w:sz="4" w:space="4" w:color="000000"/>
          <w:bottom w:val="single" w:sz="4" w:space="4" w:color="000000"/>
          <w:right w:val="single" w:sz="4" w:space="4" w:color="000000"/>
        </w:pBdr>
        <w:spacing w:lineRule="auto" w:line="259" w:before="0" w:after="0"/>
        <w:rPr/>
      </w:pPr>
      <w:r>
        <w:rPr/>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3:</w:t>
      </w:r>
      <w:r>
        <w:rPr/>
        <w:t xml:space="preserve"> The implicit method for obtaining the GTL is in compliance with the WA that the LMF starts a NRPPa transaction.</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4:</w:t>
      </w:r>
      <w:r>
        <w:rPr/>
        <w:tab/>
        <w:t>The subscription-based implicit method for obtaining the GTL may be better organized from the implementation perspective.</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5:</w:t>
      </w:r>
      <w:r>
        <w:rPr/>
        <w:tab/>
        <w:t>The NG-RAN-initiated runtime-based implicit method for obtaining the GTL needs the gNB/NG-RAN to indicate the GTL requirement during an active positioning session.</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6:</w:t>
      </w:r>
      <w:r>
        <w:rPr/>
        <w:tab/>
        <w:t>The LMF-initiated runtime-based implicit method for obtaining the GTL needs the LMF to be aware of the AI/ML capabilities of the NG-RAN by either the way of configuration during the deployment or the capability exchange.</w:t>
      </w:r>
    </w:p>
    <w:p>
      <w:pPr>
        <w:pStyle w:val="NO"/>
        <w:pBdr>
          <w:top w:val="single" w:sz="4" w:space="4" w:color="000000"/>
          <w:left w:val="single" w:sz="4" w:space="4" w:color="000000"/>
          <w:bottom w:val="single" w:sz="4" w:space="4" w:color="000000"/>
          <w:right w:val="single" w:sz="4" w:space="4" w:color="000000"/>
        </w:pBdr>
        <w:ind w:left="0" w:hanging="0"/>
        <w:rPr/>
      </w:pPr>
      <w:r>
        <w:rPr>
          <w:b/>
          <w:bCs/>
        </w:rPr>
        <w:t>Proposal 2:</w:t>
      </w:r>
      <w:r>
        <w:rPr/>
        <w:t xml:space="preserve"> In the implicit GTL acquisition method, the NG-RAN may indicate the GTL requirement: </w:t>
      </w:r>
    </w:p>
    <w:p>
      <w:pPr>
        <w:pStyle w:val="NO"/>
        <w:pBdr>
          <w:top w:val="single" w:sz="4" w:space="4" w:color="000000"/>
          <w:left w:val="single" w:sz="4" w:space="4" w:color="000000"/>
          <w:bottom w:val="single" w:sz="4" w:space="4" w:color="000000"/>
          <w:right w:val="single" w:sz="4" w:space="4" w:color="000000"/>
        </w:pBdr>
        <w:ind w:left="0" w:hanging="0"/>
        <w:rPr/>
      </w:pPr>
      <w:r>
        <w:rPr/>
        <w:t xml:space="preserve">          </w:t>
      </w:r>
      <w:r>
        <w:rPr/>
        <w:t>A. using subscription for the AI/ML GTL data with the AMF;</w:t>
      </w:r>
    </w:p>
    <w:p>
      <w:pPr>
        <w:pStyle w:val="NO"/>
        <w:pBdr>
          <w:top w:val="single" w:sz="4" w:space="4" w:color="000000"/>
          <w:left w:val="single" w:sz="4" w:space="4" w:color="000000"/>
          <w:bottom w:val="single" w:sz="4" w:space="4" w:color="000000"/>
          <w:right w:val="single" w:sz="4" w:space="4" w:color="000000"/>
        </w:pBdr>
        <w:spacing w:lineRule="auto" w:line="259"/>
        <w:ind w:left="0" w:hanging="0"/>
        <w:rPr/>
      </w:pPr>
      <w:r>
        <w:rPr/>
        <w:t xml:space="preserve">          </w:t>
      </w:r>
      <w:r>
        <w:rPr/>
        <w:t xml:space="preserve">B. using run-time request during the positioning session involving the NG-RAN using the NRPPa IE in the ongoing positioning session. </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7:</w:t>
      </w:r>
      <w:r>
        <w:rPr/>
        <w:tab/>
        <w:t>The explicit method using NGAP message for obtaining the GTL may be better organized from the implementation perspective and is in compliance with the WA that the LMF starts a NRPPa transaction. Further this method has less standard impact from RAN 3 as well as from other working group point of view (e.g. SA2).</w:t>
      </w:r>
    </w:p>
    <w:p>
      <w:pPr>
        <w:pStyle w:val="B5"/>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 8:</w:t>
      </w:r>
      <w:r>
        <w:rPr/>
        <w:tab/>
        <w:t xml:space="preserve"> The explicit method using NRPPa PDU for obtaining the GTL may have some challenges at the AMF to select a suitable LMF since the AMF cannot decode the contents of the NRPPa PDU and is in contrast with the WA that the LMF starts a NRPPa transaction.</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9:</w:t>
      </w:r>
      <w:r>
        <w:rPr/>
        <w:tab/>
        <w:t>Obtaining the consent of UE(s) when using the NRPPa PDU approach may add additional signaling overheads.</w:t>
      </w:r>
    </w:p>
    <w:p>
      <w:pPr>
        <w:pStyle w:val="NO"/>
        <w:pBdr>
          <w:top w:val="single" w:sz="4" w:space="4" w:color="000000"/>
          <w:left w:val="single" w:sz="4" w:space="4" w:color="000000"/>
          <w:bottom w:val="single" w:sz="4" w:space="4" w:color="000000"/>
          <w:right w:val="single" w:sz="4" w:space="4" w:color="000000"/>
        </w:pBdr>
        <w:spacing w:lineRule="auto" w:line="259"/>
        <w:ind w:left="0" w:hanging="0"/>
        <w:rPr/>
      </w:pPr>
      <w:r>
        <w:rPr>
          <w:b/>
          <w:bCs/>
        </w:rPr>
        <w:t>Observation</w:t>
      </w:r>
      <w:r>
        <w:rPr>
          <w:rFonts w:eastAsia="MS Mincho"/>
          <w:b/>
          <w:bCs/>
          <w:lang w:eastAsia="en-GB"/>
        </w:rPr>
        <w:t xml:space="preserve"> 10:</w:t>
      </w:r>
      <w:r>
        <w:rPr/>
        <w:tab/>
        <w:t>The NG-RAN providing the UE list as part of the GTL request may be best suited for optimized AI/ML model training but the consent of the UE(s) in the list cannot be guaranteed.</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11:</w:t>
      </w:r>
      <w:r>
        <w:rPr/>
        <w:tab/>
        <w:t>The AMF selecting the UE list guarantees the UE consent but may not be optimized for the gNB-side AI/ML model training requirements.</w:t>
      </w:r>
    </w:p>
    <w:p>
      <w:pPr>
        <w:pStyle w:val="NO"/>
        <w:pBdr>
          <w:top w:val="single" w:sz="4" w:space="4" w:color="000000"/>
          <w:left w:val="single" w:sz="4" w:space="4" w:color="000000"/>
          <w:bottom w:val="single" w:sz="4" w:space="4" w:color="000000"/>
          <w:right w:val="single" w:sz="4" w:space="4" w:color="000000"/>
        </w:pBdr>
        <w:ind w:left="0" w:hanging="0"/>
        <w:rPr/>
      </w:pPr>
      <w:r>
        <w:rPr>
          <w:b/>
          <w:bCs/>
        </w:rPr>
        <w:t>Observation</w:t>
      </w:r>
      <w:r>
        <w:rPr>
          <w:rFonts w:eastAsia="MS Mincho"/>
          <w:b/>
          <w:bCs/>
          <w:lang w:eastAsia="en-GB"/>
        </w:rPr>
        <w:t xml:space="preserve"> 12:</w:t>
      </w:r>
      <w:r>
        <w:rPr/>
        <w:tab/>
        <w:t xml:space="preserve">The </w:t>
      </w:r>
      <w:r>
        <w:rPr>
          <w:lang w:eastAsia="en-US"/>
        </w:rPr>
        <w:t>LMF shall decide based on the availability of PRU information whether to start the positioning session for the list of UE(s) included in the GTL request.</w:t>
      </w:r>
    </w:p>
    <w:p>
      <w:pPr>
        <w:pStyle w:val="NO"/>
        <w:pBdr>
          <w:top w:val="single" w:sz="4" w:space="4" w:color="000000"/>
          <w:left w:val="single" w:sz="4" w:space="4" w:color="000000"/>
          <w:bottom w:val="single" w:sz="4" w:space="4" w:color="000000"/>
          <w:right w:val="single" w:sz="4" w:space="4" w:color="000000"/>
        </w:pBdr>
        <w:ind w:left="0" w:hanging="0"/>
        <w:rPr/>
      </w:pPr>
      <w:r>
        <w:rPr>
          <w:b/>
          <w:bCs/>
        </w:rPr>
        <w:t>Proposal 3:</w:t>
      </w:r>
      <w:r>
        <w:rPr/>
        <w:t xml:space="preserve"> The explicit method using the NGAP message for obtaining the GTL </w:t>
      </w:r>
      <w:r>
        <w:rPr>
          <w:lang w:eastAsia="en-US"/>
        </w:rPr>
        <w:t>shall</w:t>
      </w:r>
      <w:r>
        <w:rPr/>
        <w:t xml:space="preserve"> be supported. </w:t>
      </w:r>
    </w:p>
    <w:p>
      <w:pPr>
        <w:pStyle w:val="NO"/>
        <w:pBdr>
          <w:top w:val="single" w:sz="4" w:space="4" w:color="000000"/>
          <w:left w:val="single" w:sz="4" w:space="4" w:color="000000"/>
          <w:bottom w:val="single" w:sz="4" w:space="4" w:color="000000"/>
          <w:right w:val="single" w:sz="4" w:space="4" w:color="000000"/>
        </w:pBdr>
        <w:spacing w:lineRule="auto" w:line="259"/>
        <w:ind w:left="0" w:hanging="0"/>
        <w:rPr/>
      </w:pPr>
      <w:r>
        <w:rPr>
          <w:b/>
          <w:bCs/>
        </w:rPr>
        <w:t>Proposal 4:</w:t>
      </w:r>
      <w:r>
        <w:rPr/>
        <w:t xml:space="preserve"> The explicit method for the GTL acquisition </w:t>
      </w:r>
      <w:r>
        <w:rPr>
          <w:lang w:eastAsia="en-US"/>
        </w:rPr>
        <w:t>shall support the NG-RAN</w:t>
      </w:r>
      <w:r>
        <w:rPr/>
        <w:t xml:space="preserve"> providing the UE list for which  the GTL is expected to the AMF or the AMF selecting the list of UE(s) based on the UE association with the NG-RAN.  </w:t>
      </w:r>
    </w:p>
    <w:p>
      <w:pPr>
        <w:pStyle w:val="Normal"/>
        <w:rPr/>
      </w:pPr>
      <w:r>
        <w:rPr/>
      </w:r>
    </w:p>
    <w:p>
      <w:pPr>
        <w:pStyle w:val="Heading1"/>
        <w:rPr>
          <w:rFonts w:ascii="Times New Roman" w:hAnsi="Times New Roman"/>
          <w:b/>
          <w:b/>
          <w:bCs/>
        </w:rPr>
      </w:pPr>
      <w:r>
        <w:rPr>
          <w:rFonts w:ascii="Times New Roman" w:hAnsi="Times New Roman"/>
          <w:b/>
          <w:bCs/>
        </w:rPr>
        <w:t>References</w:t>
      </w:r>
    </w:p>
    <w:p>
      <w:pPr>
        <w:pStyle w:val="EX"/>
        <w:ind w:left="993" w:hanging="709"/>
        <w:rPr>
          <w:lang w:eastAsia="ja-JP"/>
        </w:rPr>
      </w:pPr>
      <w:r>
        <w:rPr>
          <w:lang w:eastAsia="ja-JP"/>
        </w:rPr>
        <w:t>[1]</w:t>
        <w:tab/>
        <w:t>RP-242399, "Revised WID on Artificial Intelligence (AI)/Machine Learning (ML) for NR Air Interface".</w:t>
      </w:r>
    </w:p>
    <w:p>
      <w:pPr>
        <w:pStyle w:val="EX"/>
        <w:ind w:left="993" w:hanging="709"/>
        <w:rPr/>
      </w:pPr>
      <w:r>
        <w:rPr>
          <w:lang w:eastAsia="ja-JP"/>
        </w:rPr>
        <w:t>[2]</w:t>
      </w:r>
      <w:r>
        <w:rPr/>
        <w:tab/>
      </w:r>
      <w:r>
        <w:rPr>
          <w:lang w:eastAsia="ja-JP"/>
        </w:rPr>
        <w:t>3GPP TS 23.273, "5G System (5GS) Location Services (LCS); Stage 2”.</w:t>
      </w:r>
    </w:p>
    <w:p>
      <w:pPr>
        <w:pStyle w:val="EX"/>
        <w:spacing w:before="0" w:after="180"/>
        <w:ind w:left="993" w:hanging="709"/>
        <w:rPr/>
      </w:pPr>
      <w:r>
        <w:rPr>
          <w:lang w:eastAsia="ja-JP"/>
        </w:rPr>
        <w:t>[3]</w:t>
        <w:tab/>
        <w:t>R3-247803, “Summary of Offline Discussion on CB: # AIPHY”</w:t>
      </w:r>
    </w:p>
    <w:sectPr>
      <w:footerReference w:type="default" r:id="rId13"/>
      <w:type w:val="nextPage"/>
      <w:pgSz w:w="11906" w:h="16838"/>
      <w:pgMar w:left="1133" w:right="1196" w:header="0" w:top="851" w:footer="340" w:bottom="1133" w:gutter="0"/>
      <w:pgNumType w:fmt="decimal"/>
      <w:formProt w:val="false"/>
      <w:textDirection w:val="lrTb"/>
      <w:docGrid w:type="default" w:linePitch="272"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roman"/>
    <w:pitch w:val="variable"/>
  </w:font>
  <w:font w:name="Comic Sans MS">
    <w:charset w:val="01"/>
    <w:family w:val="roman"/>
    <w:pitch w:val="variable"/>
  </w:font>
  <w:font w:name="Times New Roman">
    <w:charset w:val="01"/>
    <w:family w:val="auto"/>
    <w:pitch w:val="default"/>
  </w:font>
  <w:font w:name="Courier New">
    <w:charset w:val="01"/>
    <w:family w:val="auto"/>
    <w:pitch w:val="default"/>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fldChar w:fldCharType="begin"/>
    </w:r>
    <w:r>
      <w:rPr/>
      <w:instrText> PAGE </w:instrText>
    </w:r>
    <w:r>
      <w:rPr/>
      <w:fldChar w:fldCharType="separate"/>
    </w:r>
    <w:r>
      <w:rPr/>
      <w:t>13</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
      <w:lvlJc w:val="left"/>
      <w:pPr>
        <w:tabs>
          <w:tab w:val="num" w:pos="0"/>
        </w:tabs>
        <w:ind w:left="360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revisionView w:insDel="0" w:formatting="0"/>
  <w:defaultTabStop w:val="284"/>
  <w:autoHyphenation w:val="true"/>
  <w:doNotHyphenateCaps/>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fals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uiPriority w:val="9"/>
    <w:qFormat/>
    <w:pPr>
      <w:keepNext w:val="true"/>
      <w:keepLines/>
      <w:widowControl/>
      <w:pBdr>
        <w:top w:val="single" w:sz="12" w:space="3" w:color="000000"/>
      </w:pBdr>
      <w:suppressAutoHyphens w:val="true"/>
      <w:overflowPunct w:val="fals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ja-JP" w:bidi="ar-SA"/>
    </w:rPr>
  </w:style>
  <w:style w:type="paragraph" w:styleId="Heading2">
    <w:name w:val="Heading 2"/>
    <w:basedOn w:val="Heading1"/>
    <w:next w:val="Normal"/>
    <w:uiPriority w:val="9"/>
    <w:semiHidden/>
    <w:unhideWhenUsed/>
    <w:qFormat/>
    <w:pPr>
      <w:pBdr>
        <w:top w:val="nil"/>
      </w:pBdr>
      <w:spacing w:before="180" w:after="180"/>
      <w:outlineLvl w:val="1"/>
    </w:pPr>
    <w:rPr>
      <w:sz w:val="32"/>
    </w:rPr>
  </w:style>
  <w:style w:type="paragraph" w:styleId="Heading3">
    <w:name w:val="Heading 3"/>
    <w:basedOn w:val="Heading2"/>
    <w:next w:val="Normal"/>
    <w:uiPriority w:val="9"/>
    <w:semiHidden/>
    <w:unhideWhenUsed/>
    <w:qFormat/>
    <w:pPr>
      <w:spacing w:before="120" w:after="18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Normal"/>
    <w:next w:val="Normal"/>
    <w:uiPriority w:val="9"/>
    <w:semiHidden/>
    <w:unhideWhenUsed/>
    <w:qFormat/>
    <w:pPr>
      <w:keepNext w:val="true"/>
      <w:keepLines/>
      <w:spacing w:before="120" w:after="180"/>
      <w:ind w:left="1985" w:hanging="1985"/>
      <w:textAlignment w:val="baseline"/>
      <w:outlineLvl w:val="5"/>
    </w:pPr>
    <w:rPr>
      <w:rFonts w:ascii="Arial" w:hAnsi="Arial"/>
      <w:lang w:eastAsia="ja-JP"/>
    </w:rPr>
  </w:style>
  <w:style w:type="paragraph" w:styleId="Heading7">
    <w:name w:val="Heading 7"/>
    <w:basedOn w:val="Normal"/>
    <w:next w:val="Normal"/>
    <w:qFormat/>
    <w:pPr>
      <w:keepNext w:val="true"/>
      <w:keepLines/>
      <w:spacing w:before="120" w:after="180"/>
      <w:ind w:left="1985" w:hanging="1985"/>
      <w:textAlignment w:val="baseline"/>
      <w:outlineLvl w:val="6"/>
    </w:pPr>
    <w:rPr>
      <w:rFonts w:ascii="Arial" w:hAnsi="Arial"/>
      <w:lang w:eastAsia="ja-JP"/>
    </w:rPr>
  </w:style>
  <w:style w:type="paragraph" w:styleId="Heading8">
    <w:name w:val="Heading 8"/>
    <w:basedOn w:val="Heading1"/>
    <w:next w:val="Normal"/>
    <w:qFormat/>
    <w:pPr>
      <w:ind w:left="0" w:hanging="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Underrubrik2Char1" w:customStyle="1">
    <w:name w:val="Underrubrik2 Char1"/>
    <w:qFormat/>
    <w:rPr>
      <w:rFonts w:ascii="Arial" w:hAnsi="Arial"/>
      <w:sz w:val="28"/>
      <w:lang w:val="en-GB" w:eastAsia="en-US" w:bidi="ar-SA"/>
    </w:rPr>
  </w:style>
  <w:style w:type="character" w:styleId="ZGSM" w:customStyle="1">
    <w:name w:val="ZGSM"/>
    <w:qFormat/>
    <w:rPr/>
  </w:style>
  <w:style w:type="character" w:styleId="PLChar" w:customStyle="1">
    <w:name w:val="PL Char"/>
    <w:qFormat/>
    <w:rPr>
      <w:rFonts w:ascii="Courier New" w:hAnsi="Courier New"/>
      <w:sz w:val="16"/>
      <w:lang w:val="en-GB" w:eastAsia="en-US" w:bidi="ar-SA"/>
    </w:rPr>
  </w:style>
  <w:style w:type="character" w:styleId="TALCar" w:customStyle="1">
    <w:name w:val="TAL Car"/>
    <w:qFormat/>
    <w:rPr>
      <w:rFonts w:ascii="Arial" w:hAnsi="Arial"/>
      <w:sz w:val="18"/>
      <w:lang w:val="en-GB" w:eastAsia="en-US" w:bidi="ar-SA"/>
    </w:rPr>
  </w:style>
  <w:style w:type="character" w:styleId="B1Zchn" w:customStyle="1">
    <w:name w:val="B1 Zchn"/>
    <w:qFormat/>
    <w:rPr>
      <w:lang w:val="en-GB" w:eastAsia="en-US" w:bidi="ar-SA"/>
    </w:rPr>
  </w:style>
  <w:style w:type="character" w:styleId="EditorsNoteChar" w:customStyle="1">
    <w:name w:val="Editor's Note Char"/>
    <w:qFormat/>
    <w:rPr>
      <w:rFonts w:ascii="Arial" w:hAnsi="Arial" w:eastAsia="SimSun" w:cs="Arial"/>
      <w:color w:val="FF0000"/>
      <w:kern w:val="2"/>
      <w:lang w:val="en-GB" w:eastAsia="en-US" w:bidi="ar-SA"/>
    </w:rPr>
  </w:style>
  <w:style w:type="character" w:styleId="NOChar" w:customStyle="1">
    <w:name w:val="NO Char"/>
    <w:qFormat/>
    <w:rPr>
      <w:rFonts w:ascii="Arial" w:hAnsi="Arial" w:eastAsia="SimSun" w:cs="Arial"/>
      <w:color w:val="0000FF"/>
      <w:kern w:val="2"/>
      <w:lang w:val="en-GB" w:eastAsia="en-US" w:bidi="ar-SA"/>
    </w:rPr>
  </w:style>
  <w:style w:type="character" w:styleId="THChar" w:customStyle="1">
    <w:name w:val="TH Char"/>
    <w:qFormat/>
    <w:rPr>
      <w:rFonts w:ascii="Arial" w:hAnsi="Arial"/>
      <w:b/>
      <w:lang w:val="en-GB" w:eastAsia="en-US" w:bidi="ar-SA"/>
    </w:rPr>
  </w:style>
  <w:style w:type="character" w:styleId="TFChar" w:customStyle="1">
    <w:name w:val="TF Char"/>
    <w:qFormat/>
    <w:rPr>
      <w:rFonts w:ascii="Arial" w:hAnsi="Arial"/>
      <w:b/>
      <w:lang w:val="en-GB" w:eastAsia="en-US" w:bidi="ar-SA"/>
    </w:rPr>
  </w:style>
  <w:style w:type="character" w:styleId="B3Char2" w:customStyle="1">
    <w:name w:val="B3 Char2"/>
    <w:qFormat/>
    <w:rPr>
      <w:lang w:val="en-GB" w:eastAsia="en-US" w:bidi="ar-SA"/>
    </w:rPr>
  </w:style>
  <w:style w:type="character" w:styleId="FootnoteCharacters" w:customStyle="1">
    <w:name w:val="Footnote Characters"/>
    <w:qFormat/>
    <w:rPr>
      <w:b/>
      <w:sz w:val="16"/>
      <w:vertAlign w:val="superscript"/>
    </w:rPr>
  </w:style>
  <w:style w:type="character" w:styleId="FootnoteAnchor" w:customStyle="1">
    <w:name w:val="Footnote Anchor"/>
    <w:rPr>
      <w:b/>
      <w:sz w:val="16"/>
      <w:vertAlign w:val="superscript"/>
    </w:rPr>
  </w:style>
  <w:style w:type="character" w:styleId="InternetLink">
    <w:name w:val="Hyperlink"/>
    <w:rPr>
      <w:color w:val="0000FF"/>
      <w:u w:val="single"/>
    </w:rPr>
  </w:style>
  <w:style w:type="character" w:styleId="VisitedInternetLink">
    <w:name w:val="FollowedHyperlink"/>
    <w:rPr>
      <w:color w:val="800080"/>
      <w:u w:val="single"/>
    </w:rPr>
  </w:style>
  <w:style w:type="character" w:styleId="Annotationreference">
    <w:name w:val="annotation reference"/>
    <w:qFormat/>
    <w:rPr>
      <w:sz w:val="16"/>
    </w:rPr>
  </w:style>
  <w:style w:type="character" w:styleId="CommentTextChar" w:customStyle="1">
    <w:name w:val="Comment Text Char"/>
    <w:qFormat/>
    <w:rPr>
      <w:lang w:val="en-GB" w:eastAsia="ko-KR"/>
    </w:rPr>
  </w:style>
  <w:style w:type="character" w:styleId="Pagenumber">
    <w:name w:val="page number"/>
    <w:basedOn w:val="DefaultParagraphFont"/>
    <w:qFormat/>
    <w:rPr/>
  </w:style>
  <w:style w:type="character" w:styleId="Msoins" w:customStyle="1">
    <w:name w:val="msoins"/>
    <w:basedOn w:val="DefaultParagraphFont"/>
    <w:qFormat/>
    <w:rPr/>
  </w:style>
  <w:style w:type="character" w:styleId="B2Char" w:customStyle="1">
    <w:name w:val="B2 Char"/>
    <w:qFormat/>
    <w:rPr>
      <w:rFonts w:ascii="Arial" w:hAnsi="Arial" w:eastAsia="SimSun" w:cs="Arial"/>
      <w:color w:val="0000FF"/>
      <w:kern w:val="2"/>
      <w:lang w:val="en-GB" w:eastAsia="en-US" w:bidi="ar-SA"/>
    </w:rPr>
  </w:style>
  <w:style w:type="character" w:styleId="QuotationZchn" w:customStyle="1">
    <w:name w:val="Quotation Zchn"/>
    <w:qFormat/>
    <w:rPr>
      <w:rFonts w:ascii="Arial" w:hAnsi="Arial" w:eastAsia="SimSun" w:cs="Arial"/>
      <w:color w:val="0000FF"/>
      <w:kern w:val="2"/>
      <w:szCs w:val="22"/>
      <w:lang w:val="en-GB" w:eastAsia="en-US" w:bidi="ar-SA"/>
    </w:rPr>
  </w:style>
  <w:style w:type="character" w:styleId="EditorsNoteZchn" w:customStyle="1">
    <w:name w:val="Editor's Note Zchn"/>
    <w:qFormat/>
    <w:rPr>
      <w:rFonts w:ascii="Arial" w:hAnsi="Arial" w:eastAsia="SimSun" w:cs="Arial"/>
      <w:color w:val="FF0000"/>
      <w:kern w:val="2"/>
      <w:lang w:val="en-GB" w:eastAsia="en-US" w:bidi="ar-SA"/>
    </w:rPr>
  </w:style>
  <w:style w:type="character" w:styleId="TFZchn" w:customStyle="1">
    <w:name w:val="TF Zchn"/>
    <w:qFormat/>
    <w:rPr>
      <w:rFonts w:ascii="Arial" w:hAnsi="Arial" w:eastAsia="MS Mincho" w:cs="Arial"/>
      <w:b/>
      <w:color w:val="0000FF"/>
      <w:kern w:val="2"/>
      <w:lang w:val="en-GB" w:eastAsia="en-US" w:bidi="ar-SA"/>
    </w:rPr>
  </w:style>
  <w:style w:type="character" w:styleId="B1Char" w:customStyle="1">
    <w:name w:val="B1 Char"/>
    <w:qFormat/>
    <w:rPr>
      <w:rFonts w:ascii="Arial" w:hAnsi="Arial" w:eastAsia="MS Mincho" w:cs="Arial"/>
      <w:color w:val="0000FF"/>
      <w:kern w:val="2"/>
      <w:lang w:val="en-GB" w:eastAsia="en-US" w:bidi="ar-SA"/>
    </w:rPr>
  </w:style>
  <w:style w:type="character" w:styleId="Emphasis">
    <w:name w:val="Emphasis"/>
    <w:qFormat/>
    <w:rPr>
      <w:rFonts w:ascii="Arial" w:hAnsi="Arial" w:eastAsia="SimSun" w:cs="Arial"/>
      <w:i/>
      <w:iCs/>
      <w:color w:val="0000FF"/>
      <w:kern w:val="2"/>
      <w:lang w:val="en-US" w:eastAsia="zh-CN" w:bidi="ar-SA"/>
    </w:rPr>
  </w:style>
  <w:style w:type="character" w:styleId="TALCharCharChar" w:customStyle="1">
    <w:name w:val="TAL Char Char Char"/>
    <w:qFormat/>
    <w:rPr>
      <w:rFonts w:ascii="Arial" w:hAnsi="Arial"/>
      <w:sz w:val="18"/>
      <w:lang w:val="en-GB" w:eastAsia="ja-JP" w:bidi="ar-SA"/>
    </w:rPr>
  </w:style>
  <w:style w:type="character" w:styleId="B1Char1" w:customStyle="1">
    <w:name w:val="B1 Char1"/>
    <w:qFormat/>
    <w:rPr>
      <w:lang w:val="en-GB" w:eastAsia="ja-JP" w:bidi="ar-SA"/>
    </w:rPr>
  </w:style>
  <w:style w:type="character" w:styleId="TALChar" w:customStyle="1">
    <w:name w:val="TAL Char"/>
    <w:qFormat/>
    <w:rPr>
      <w:rFonts w:ascii="Arial" w:hAnsi="Arial"/>
      <w:sz w:val="18"/>
      <w:lang w:val="en-GB" w:eastAsia="en-US" w:bidi="ar-SA"/>
    </w:rPr>
  </w:style>
  <w:style w:type="character" w:styleId="TAHCar" w:customStyle="1">
    <w:name w:val="TAH Car"/>
    <w:qFormat/>
    <w:rPr>
      <w:rFonts w:ascii="Arial" w:hAnsi="Arial"/>
      <w:b/>
      <w:sz w:val="18"/>
      <w:lang w:val="en-GB" w:eastAsia="en-US" w:bidi="ar-SA"/>
    </w:rPr>
  </w:style>
  <w:style w:type="character" w:styleId="ZDONTMODIFY" w:customStyle="1">
    <w:name w:val="ZDONTMODIFY"/>
    <w:qFormat/>
    <w:rPr/>
  </w:style>
  <w:style w:type="character" w:styleId="TAHChar" w:customStyle="1">
    <w:name w:val="TAH Char"/>
    <w:qFormat/>
    <w:rPr>
      <w:rFonts w:ascii="Arial" w:hAnsi="Arial"/>
      <w:b/>
      <w:sz w:val="18"/>
      <w:lang w:eastAsia="en-US"/>
    </w:rPr>
  </w:style>
  <w:style w:type="character" w:styleId="Heading5Char" w:customStyle="1">
    <w:name w:val="Heading 5 Char"/>
    <w:qFormat/>
    <w:rPr>
      <w:rFonts w:ascii="Arial" w:hAnsi="Arial"/>
      <w:sz w:val="22"/>
    </w:rPr>
  </w:style>
  <w:style w:type="character" w:styleId="Heading6Char" w:customStyle="1">
    <w:name w:val="Heading 6 Char"/>
    <w:qFormat/>
    <w:rPr>
      <w:rFonts w:ascii="Arial" w:hAnsi="Arial"/>
    </w:rPr>
  </w:style>
  <w:style w:type="character" w:styleId="TableRowCar" w:customStyle="1">
    <w:name w:val="Table Row Car"/>
    <w:qFormat/>
    <w:rPr>
      <w:rFonts w:eastAsia="SimSun"/>
      <w:lang w:val="en-GB" w:eastAsia="en-US"/>
    </w:rPr>
  </w:style>
  <w:style w:type="character" w:styleId="EXChar" w:customStyle="1">
    <w:name w:val="EX Char"/>
    <w:qFormat/>
    <w:rPr>
      <w:lang w:eastAsia="en-US"/>
    </w:rPr>
  </w:style>
  <w:style w:type="character" w:styleId="Heading4Char" w:customStyle="1">
    <w:name w:val="Heading 4 Char"/>
    <w:qFormat/>
    <w:rPr>
      <w:rFonts w:ascii="Arial" w:hAnsi="Arial"/>
      <w:sz w:val="24"/>
    </w:rPr>
  </w:style>
  <w:style w:type="character" w:styleId="B6Char" w:customStyle="1">
    <w:name w:val="B6 Char"/>
    <w:qFormat/>
    <w:rPr>
      <w:rFonts w:eastAsia="MS Mincho"/>
    </w:rPr>
  </w:style>
  <w:style w:type="character" w:styleId="B7Char" w:customStyle="1">
    <w:name w:val="B7 Char"/>
    <w:qFormat/>
    <w:rPr>
      <w:rFonts w:eastAsia="MS Mincho"/>
    </w:rPr>
  </w:style>
  <w:style w:type="character" w:styleId="Heading2Char" w:customStyle="1">
    <w:name w:val="Heading 2 Char"/>
    <w:basedOn w:val="DefaultParagraphFont"/>
    <w:qFormat/>
    <w:rPr>
      <w:rFonts w:ascii="Arial" w:hAnsi="Arial"/>
      <w:sz w:val="32"/>
    </w:rPr>
  </w:style>
  <w:style w:type="character" w:styleId="Heading7Char" w:customStyle="1">
    <w:name w:val="Heading 7 Char"/>
    <w:basedOn w:val="DefaultParagraphFont"/>
    <w:qFormat/>
    <w:rPr>
      <w:rFonts w:ascii="Arial" w:hAnsi="Arial"/>
    </w:rPr>
  </w:style>
  <w:style w:type="character" w:styleId="Heading8Char" w:customStyle="1">
    <w:name w:val="Heading 8 Char"/>
    <w:basedOn w:val="DefaultParagraphFont"/>
    <w:qFormat/>
    <w:rPr>
      <w:rFonts w:ascii="Arial" w:hAnsi="Arial"/>
      <w:sz w:val="36"/>
    </w:rPr>
  </w:style>
  <w:style w:type="character" w:styleId="Heading9Char" w:customStyle="1">
    <w:name w:val="Heading 9 Char"/>
    <w:basedOn w:val="DefaultParagraphFont"/>
    <w:qFormat/>
    <w:rPr>
      <w:rFonts w:ascii="Arial" w:hAnsi="Arial"/>
      <w:sz w:val="36"/>
    </w:rPr>
  </w:style>
  <w:style w:type="character" w:styleId="FootnoteTextChar" w:customStyle="1">
    <w:name w:val="Footnote Text Char"/>
    <w:basedOn w:val="DefaultParagraphFont"/>
    <w:qFormat/>
    <w:rPr>
      <w:sz w:val="16"/>
      <w:lang w:eastAsia="ko-KR"/>
    </w:rPr>
  </w:style>
  <w:style w:type="character" w:styleId="FooterChar" w:customStyle="1">
    <w:name w:val="Footer Char"/>
    <w:basedOn w:val="DefaultParagraphFont"/>
    <w:qFormat/>
    <w:rPr>
      <w:rFonts w:ascii="Arial" w:hAnsi="Arial"/>
      <w:b/>
      <w:i/>
      <w:sz w:val="18"/>
    </w:rPr>
  </w:style>
  <w:style w:type="character" w:styleId="BalloonTextChar" w:customStyle="1">
    <w:name w:val="Balloon Text Char"/>
    <w:basedOn w:val="DefaultParagraphFont"/>
    <w:qFormat/>
    <w:rPr>
      <w:rFonts w:ascii="Tahoma" w:hAnsi="Tahoma" w:cs="Tahoma"/>
      <w:sz w:val="16"/>
      <w:szCs w:val="16"/>
      <w:lang w:eastAsia="en-US"/>
    </w:rPr>
  </w:style>
  <w:style w:type="character" w:styleId="CommentSubjectChar" w:customStyle="1">
    <w:name w:val="Comment Subject Char"/>
    <w:basedOn w:val="CommentTextChar"/>
    <w:qFormat/>
    <w:rPr>
      <w:b/>
      <w:bCs/>
      <w:lang w:val="en-GB" w:eastAsia="en-GB"/>
    </w:rPr>
  </w:style>
  <w:style w:type="character" w:styleId="DocumentMapChar" w:customStyle="1">
    <w:name w:val="Document Map Char"/>
    <w:basedOn w:val="DefaultParagraphFont"/>
    <w:qFormat/>
    <w:rPr>
      <w:rFonts w:ascii="Tahoma" w:hAnsi="Tahoma"/>
      <w:highlight w:val="darkBlue"/>
      <w:lang w:eastAsia="en-US"/>
    </w:rPr>
  </w:style>
  <w:style w:type="character" w:styleId="CRCoverPageZchn" w:customStyle="1">
    <w:name w:val="CR Cover Page Zchn"/>
    <w:qFormat/>
    <w:rPr>
      <w:rFonts w:ascii="Arial" w:hAnsi="Arial"/>
      <w:lang w:eastAsia="en-US"/>
    </w:rPr>
  </w:style>
  <w:style w:type="character" w:styleId="TPchangeChar" w:customStyle="1">
    <w:name w:val="TP-change Char"/>
    <w:qFormat/>
    <w:rPr>
      <w:rFonts w:eastAsia="SimSun"/>
      <w:b/>
      <w:lang w:eastAsia="x-none"/>
    </w:rPr>
  </w:style>
  <w:style w:type="character" w:styleId="B4Char" w:customStyle="1">
    <w:name w:val="B4 Char"/>
    <w:qFormat/>
    <w:rPr>
      <w:lang w:eastAsia="en-US"/>
    </w:rPr>
  </w:style>
  <w:style w:type="character" w:styleId="B5Char" w:customStyle="1">
    <w:name w:val="B5 Char"/>
    <w:qFormat/>
    <w:rPr>
      <w:lang w:eastAsia="en-US"/>
    </w:rPr>
  </w:style>
  <w:style w:type="character" w:styleId="Doctext2Char" w:customStyle="1">
    <w:name w:val="Doc-text2 Char"/>
    <w:qFormat/>
    <w:rPr>
      <w:rFonts w:ascii="Arial" w:hAnsi="Arial" w:eastAsia="MS Mincho"/>
      <w:szCs w:val="24"/>
      <w:lang w:eastAsia="en-GB"/>
    </w:rPr>
  </w:style>
  <w:style w:type="character" w:styleId="DoctitleChar" w:customStyle="1">
    <w:name w:val="Doc-title Char"/>
    <w:qFormat/>
    <w:rPr>
      <w:rFonts w:ascii="Arial" w:hAnsi="Arial" w:eastAsia="MS Mincho"/>
      <w:szCs w:val="24"/>
      <w:lang w:eastAsia="en-GB"/>
    </w:rPr>
  </w:style>
  <w:style w:type="character" w:styleId="NOZchn" w:customStyle="1">
    <w:name w:val="NO Zchn"/>
    <w:qFormat/>
    <w:rPr/>
  </w:style>
  <w:style w:type="character" w:styleId="TANChar" w:customStyle="1">
    <w:name w:val="TAN Char"/>
    <w:qFormat/>
    <w:rPr>
      <w:rFonts w:ascii="Arial" w:hAnsi="Arial"/>
      <w:sz w:val="18"/>
      <w:lang w:eastAsia="en-US"/>
    </w:rPr>
  </w:style>
  <w:style w:type="character" w:styleId="PlainTextChar" w:customStyle="1">
    <w:name w:val="Plain Text Char"/>
    <w:basedOn w:val="DefaultParagraphFont"/>
    <w:qFormat/>
    <w:rPr>
      <w:rFonts w:ascii="Courier New" w:hAnsi="Courier New"/>
      <w:lang w:val="nb-NO" w:eastAsia="en-US"/>
    </w:rPr>
  </w:style>
  <w:style w:type="character" w:styleId="BodyTextChar" w:customStyle="1">
    <w:name w:val="Body Text Char"/>
    <w:basedOn w:val="DefaultParagraphFont"/>
    <w:qFormat/>
    <w:rPr>
      <w:lang w:eastAsia="en-US"/>
    </w:rPr>
  </w:style>
  <w:style w:type="character" w:styleId="TitleChar" w:customStyle="1">
    <w:name w:val="Title Char"/>
    <w:basedOn w:val="DefaultParagraphFont"/>
    <w:qFormat/>
    <w:rPr>
      <w:rFonts w:ascii="Arial" w:hAnsi="Arial"/>
      <w:caps/>
      <w:sz w:val="22"/>
      <w:u w:val="single"/>
      <w:lang w:eastAsia="en-GB"/>
    </w:rPr>
  </w:style>
  <w:style w:type="character" w:styleId="BodyTextIndentChar" w:customStyle="1">
    <w:name w:val="Body Text Indent Char"/>
    <w:basedOn w:val="DefaultParagraphFont"/>
    <w:qFormat/>
    <w:rPr>
      <w:rFonts w:eastAsia="MS Mincho"/>
      <w:lang w:eastAsia="en-US"/>
    </w:rPr>
  </w:style>
  <w:style w:type="character" w:styleId="HeaderChar" w:customStyle="1">
    <w:name w:val="Header Char"/>
    <w:basedOn w:val="DefaultParagraphFont"/>
    <w:qFormat/>
    <w:rPr>
      <w:lang w:eastAsia="en-US"/>
    </w:rPr>
  </w:style>
  <w:style w:type="character" w:styleId="3GPPAgreementsChar" w:customStyle="1">
    <w:name w:val="3GPP Agreements Char"/>
    <w:qFormat/>
    <w:rPr>
      <w:rFonts w:eastAsia="SimSun"/>
      <w:sz w:val="22"/>
      <w:lang w:val="en-US" w:eastAsia="zh-CN"/>
    </w:rPr>
  </w:style>
  <w:style w:type="character" w:styleId="Heading1Char" w:customStyle="1">
    <w:name w:val="Heading 1 Char"/>
    <w:qFormat/>
    <w:rPr>
      <w:rFonts w:ascii="Arial" w:hAnsi="Arial"/>
      <w:sz w:val="36"/>
    </w:rPr>
  </w:style>
  <w:style w:type="character" w:styleId="Linenumber">
    <w:name w:val="line number"/>
    <w:basedOn w:val="DefaultParagraphFont"/>
    <w:qFormat/>
    <w:rPr/>
  </w:style>
  <w:style w:type="character" w:styleId="Strong">
    <w:name w:val="Strong"/>
    <w:basedOn w:val="DefaultParagraphFont"/>
    <w:qFormat/>
    <w:rPr>
      <w:b/>
      <w:bCs/>
    </w:rPr>
  </w:style>
  <w:style w:type="character" w:styleId="B1" w:customStyle="1">
    <w:name w:val="B1 (文字)"/>
    <w:qFormat/>
    <w:rPr>
      <w:lang w:eastAsia="en-US"/>
    </w:rPr>
  </w:style>
  <w:style w:type="character" w:styleId="ListParagraphChar" w:customStyle="1">
    <w:name w:val="List Paragraph Char"/>
    <w:qFormat/>
    <w:rPr>
      <w:rFonts w:ascii="Calibri" w:hAnsi="Calibri" w:eastAsia="Calibri"/>
      <w:sz w:val="22"/>
      <w:szCs w:val="22"/>
      <w:lang w:eastAsia="en-GB"/>
    </w:rPr>
  </w:style>
  <w:style w:type="character" w:styleId="Heading2Char1" w:customStyle="1">
    <w:name w:val="Heading 2 Char1"/>
    <w:basedOn w:val="DefaultParagraphFont"/>
    <w:qFormat/>
    <w:rPr>
      <w:rFonts w:ascii="Arial" w:hAnsi="Arial" w:eastAsia="SimSun" w:cs="Times New Roman"/>
      <w:kern w:val="0"/>
      <w:sz w:val="32"/>
      <w:szCs w:val="20"/>
      <w:lang w:val="en-GB" w:eastAsia="ja-JP"/>
    </w:rPr>
  </w:style>
  <w:style w:type="character" w:styleId="Heading3Char" w:customStyle="1">
    <w:name w:val="Heading 3 Char"/>
    <w:qFormat/>
    <w:rPr>
      <w:rFonts w:ascii="Arial" w:hAnsi="Arial"/>
      <w:sz w:val="28"/>
    </w:rPr>
  </w:style>
  <w:style w:type="character" w:styleId="B3Char" w:customStyle="1">
    <w:name w:val="B3 Char"/>
    <w:qFormat/>
    <w:rPr>
      <w:lang w:eastAsia="en-US"/>
    </w:rPr>
  </w:style>
  <w:style w:type="character" w:styleId="UnresolvedMention">
    <w:name w:val="Unresolved Mention"/>
    <w:basedOn w:val="DefaultParagraphFont"/>
    <w:qFormat/>
    <w:rPr>
      <w:color w:val="605E5C"/>
      <w:highlight w:val="lightGray"/>
    </w:rPr>
  </w:style>
  <w:style w:type="character" w:styleId="TACChar" w:customStyle="1">
    <w:name w:val="TAC Char"/>
    <w:qFormat/>
    <w:rPr>
      <w:rFonts w:ascii="Arial" w:hAnsi="Arial"/>
      <w:sz w:val="18"/>
      <w:lang w:eastAsia="en-US"/>
    </w:rPr>
  </w:style>
  <w:style w:type="character" w:styleId="CommentsChar" w:customStyle="1">
    <w:name w:val="Comments Char"/>
    <w:qFormat/>
    <w:rPr>
      <w:rFonts w:ascii="Arial" w:hAnsi="Arial" w:eastAsia="MS Mincho"/>
      <w:i/>
      <w:sz w:val="18"/>
      <w:szCs w:val="24"/>
      <w:lang w:eastAsia="en-GB"/>
    </w:rPr>
  </w:style>
  <w:style w:type="character" w:styleId="CaptionChar" w:customStyle="1">
    <w:name w:val="Caption Char"/>
    <w:qFormat/>
    <w:rPr>
      <w:b/>
      <w:lang w:eastAsia="en-US"/>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rPr/>
  </w:style>
  <w:style w:type="paragraph" w:styleId="List">
    <w:name w:val="List"/>
    <w:basedOn w:val="Normal"/>
    <w:pPr>
      <w:ind w:left="568" w:hanging="284"/>
    </w:pPr>
    <w:rPr>
      <w:lang w:eastAsia="ko-K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qFormat/>
    <w:pPr>
      <w:spacing w:before="120" w:after="120"/>
    </w:pPr>
    <w:rPr>
      <w:b/>
    </w:rPr>
  </w:style>
  <w:style w:type="paragraph" w:styleId="Contents9">
    <w:name w:val="TOC 9"/>
    <w:basedOn w:val="Contents8"/>
    <w:pPr>
      <w:ind w:left="1418" w:hanging="1418"/>
    </w:pPr>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overflowPunct w:val="fals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ZD" w:customStyle="1">
    <w:name w:val="ZD"/>
    <w:qFormat/>
    <w:pPr>
      <w:widowControl w:val="false"/>
      <w:suppressAutoHyphens w:val="true"/>
      <w:overflowPunct w:val="false"/>
      <w:bidi w:val="0"/>
      <w:spacing w:before="0" w:after="0"/>
      <w:jc w:val="left"/>
    </w:pPr>
    <w:rPr>
      <w:rFonts w:ascii="Arial" w:hAnsi="Arial" w:eastAsia="Times New Roman" w:cs="Times New Roman"/>
      <w:color w:val="auto"/>
      <w:kern w:val="0"/>
      <w:sz w:val="32"/>
      <w:szCs w:val="20"/>
      <w:lang w:val="en-GB" w:eastAsia="en-US" w:bidi="ar-SA"/>
    </w:rPr>
  </w:style>
  <w:style w:type="paragraph" w:styleId="Contents5">
    <w:name w:val="TOC 5"/>
    <w:basedOn w:val="Contents4"/>
    <w:pPr>
      <w:ind w:left="1701" w:hanging="1701"/>
    </w:pPr>
    <w:rPr/>
  </w:style>
  <w:style w:type="paragraph" w:styleId="Contents4">
    <w:name w:val="TOC 4"/>
    <w:basedOn w:val="Contents3"/>
    <w:pPr>
      <w:ind w:left="1418"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0"/>
      <w:ind w:left="851" w:right="425" w:hanging="851"/>
    </w:pPr>
    <w:rPr>
      <w:sz w:val="20"/>
    </w:rPr>
  </w:style>
  <w:style w:type="paragraph" w:styleId="HeaderandFooter" w:customStyle="1">
    <w:name w:val="Header and Footer"/>
    <w:basedOn w:val="Normal"/>
    <w:qFormat/>
    <w:pPr/>
    <w:rPr/>
  </w:style>
  <w:style w:type="paragraph" w:styleId="Footer">
    <w:name w:val="Footer"/>
    <w:basedOn w:val="Normal"/>
    <w:pPr>
      <w:widowControl w:val="false"/>
      <w:spacing w:before="0" w:after="0"/>
      <w:jc w:val="center"/>
      <w:textAlignment w:val="baseline"/>
    </w:pPr>
    <w:rPr>
      <w:rFonts w:ascii="Arial" w:hAnsi="Arial"/>
      <w:b/>
      <w:i/>
      <w:sz w:val="18"/>
      <w:lang w:eastAsia="ja-JP"/>
    </w:rPr>
  </w:style>
  <w:style w:type="paragraph" w:styleId="TT" w:customStyle="1">
    <w:name w:val="TT"/>
    <w:basedOn w:val="Heading1"/>
    <w:next w:val="Normal"/>
    <w:qFormat/>
    <w:pPr/>
    <w:rPr/>
  </w:style>
  <w:style w:type="paragraph" w:styleId="NF" w:customStyle="1">
    <w:name w:val="NF"/>
    <w:basedOn w:val="NO"/>
    <w:qFormat/>
    <w:pPr>
      <w:keepNext w:val="true"/>
      <w:spacing w:before="0" w:after="0"/>
    </w:pPr>
    <w:rPr>
      <w:rFonts w:ascii="Arial" w:hAnsi="Arial"/>
      <w:sz w:val="18"/>
    </w:rPr>
  </w:style>
  <w:style w:type="paragraph" w:styleId="NO" w:customStyle="1">
    <w:name w:val="NO"/>
    <w:basedOn w:val="Normal"/>
    <w:qFormat/>
    <w:pPr>
      <w:keepLines/>
      <w:ind w:left="1135" w:hanging="851"/>
    </w:pPr>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TAL" w:customStyle="1">
    <w:name w:val="TAL"/>
    <w:basedOn w:val="Normal"/>
    <w:qFormat/>
    <w:pPr>
      <w:keepNext w:val="true"/>
      <w:keepLines/>
      <w:spacing w:before="0" w:after="0"/>
    </w:pPr>
    <w:rPr>
      <w:rFonts w:ascii="Arial" w:hAnsi="Arial"/>
      <w:sz w:val="18"/>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LD" w:customStyle="1">
    <w:name w:val="LD"/>
    <w:qFormat/>
    <w:pPr>
      <w:keepNext w:val="true"/>
      <w:keepLines/>
      <w:widowControl/>
      <w:suppressAutoHyphens w:val="true"/>
      <w:overflowPunct w:val="false"/>
      <w:bidi w:val="0"/>
      <w:spacing w:lineRule="exact" w:line="180" w:before="0" w:after="0"/>
      <w:jc w:val="left"/>
    </w:pPr>
    <w:rPr>
      <w:rFonts w:ascii="Courier New" w:hAnsi="Courier New" w:eastAsia="Times New Roman" w:cs="Times New Roman"/>
      <w:color w:val="auto"/>
      <w:kern w:val="0"/>
      <w:sz w:val="20"/>
      <w:szCs w:val="20"/>
      <w:lang w:val="en-GB" w:eastAsia="en-US" w:bidi="ar-SA"/>
    </w:rPr>
  </w:style>
  <w:style w:type="paragraph" w:styleId="EX" w:customStyle="1">
    <w:name w:val="EX"/>
    <w:basedOn w:val="Normal"/>
    <w:qFormat/>
    <w:pPr>
      <w:keepLines/>
      <w:ind w:left="1702" w:hanging="1418"/>
    </w:pPr>
    <w:rPr>
      <w:lang w:val="x-none"/>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B11" w:customStyle="1">
    <w:name w:val="B1"/>
    <w:basedOn w:val="Normal"/>
    <w:qFormat/>
    <w:pPr>
      <w:ind w:left="568" w:hanging="284"/>
    </w:pPr>
    <w:rPr/>
  </w:style>
  <w:style w:type="paragraph" w:styleId="Contents6">
    <w:name w:val="TOC 6"/>
    <w:basedOn w:val="Contents5"/>
    <w:next w:val="Normal"/>
    <w:pPr>
      <w:ind w:left="1985" w:hanging="1985"/>
    </w:pPr>
    <w:rPr/>
  </w:style>
  <w:style w:type="paragraph" w:styleId="Contents7">
    <w:name w:val="TOC 7"/>
    <w:basedOn w:val="Contents6"/>
    <w:next w:val="Normal"/>
    <w:pPr>
      <w:ind w:left="2268" w:hanging="2268"/>
    </w:pPr>
    <w:rPr/>
  </w:style>
  <w:style w:type="paragraph" w:styleId="EditorsNote" w:customStyle="1">
    <w:name w:val="Editor's Note"/>
    <w:basedOn w:val="NO"/>
    <w:qFormat/>
    <w:pPr/>
    <w:rPr>
      <w:color w:val="FF0000"/>
    </w:rPr>
  </w:style>
  <w:style w:type="paragraph" w:styleId="TH" w:customStyle="1">
    <w:name w:val="TH"/>
    <w:basedOn w:val="Normal"/>
    <w:qFormat/>
    <w:pPr>
      <w:keepNext w:val="true"/>
      <w:keepLines/>
      <w:spacing w:before="60" w:after="180"/>
      <w:jc w:val="center"/>
    </w:pPr>
    <w:rPr>
      <w:rFonts w:ascii="Arial" w:hAnsi="Arial"/>
      <w:b/>
    </w:rPr>
  </w:style>
  <w:style w:type="paragraph" w:styleId="ZA" w:customStyle="1">
    <w:name w:val="ZA"/>
    <w:qFormat/>
    <w:pPr>
      <w:widowControl w:val="false"/>
      <w:pBdr>
        <w:bottom w:val="single" w:sz="12" w:space="1" w:color="000000"/>
      </w:pBdr>
      <w:suppressAutoHyphens w:val="true"/>
      <w:overflowPunct w:val="fals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overflowPunct w:val="fals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T" w:customStyle="1">
    <w:name w:val="ZT"/>
    <w:qFormat/>
    <w:pPr>
      <w:widowControl w:val="false"/>
      <w:suppressAutoHyphens w:val="true"/>
      <w:overflowPunct w:val="fals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ZU" w:customStyle="1">
    <w:name w:val="ZU"/>
    <w:qFormat/>
    <w:pPr>
      <w:widowControl w:val="false"/>
      <w:pBdr>
        <w:top w:val="single" w:sz="12" w:space="1" w:color="000000"/>
      </w:pBdr>
      <w:suppressAutoHyphens w:val="true"/>
      <w:overflowPunct w:val="false"/>
      <w:bidi w:val="0"/>
      <w:spacing w:before="0" w:after="0"/>
      <w:jc w:val="right"/>
    </w:pPr>
    <w:rPr>
      <w:rFonts w:ascii="Arial" w:hAnsi="Arial" w:eastAsia="Times New Roman" w:cs="Times New Roman"/>
      <w:color w:val="auto"/>
      <w:kern w:val="0"/>
      <w:sz w:val="20"/>
      <w:szCs w:val="20"/>
      <w:lang w:val="en-GB" w:eastAsia="en-US" w:bidi="ar-SA"/>
    </w:rPr>
  </w:style>
  <w:style w:type="paragraph" w:styleId="TAN" w:customStyle="1">
    <w:name w:val="TAN"/>
    <w:basedOn w:val="TAL"/>
    <w:qFormat/>
    <w:pPr>
      <w:ind w:left="851" w:hanging="851"/>
    </w:pPr>
    <w:rPr/>
  </w:style>
  <w:style w:type="paragraph" w:styleId="ZH" w:customStyle="1">
    <w:name w:val="ZH"/>
    <w:qFormat/>
    <w:pPr>
      <w:widowControl w:val="false"/>
      <w:suppressAutoHyphens w:val="true"/>
      <w:overflowPunct w:val="false"/>
      <w:bidi w:val="0"/>
      <w:spacing w:before="0" w:after="0"/>
      <w:jc w:val="left"/>
    </w:pPr>
    <w:rPr>
      <w:rFonts w:ascii="Arial" w:hAnsi="Arial" w:eastAsia="Times New Roman" w:cs="Times New Roman"/>
      <w:color w:val="auto"/>
      <w:kern w:val="0"/>
      <w:sz w:val="20"/>
      <w:szCs w:val="20"/>
      <w:lang w:val="en-GB" w:eastAsia="en-US" w:bidi="ar-SA"/>
    </w:rPr>
  </w:style>
  <w:style w:type="paragraph" w:styleId="TF" w:customStyle="1">
    <w:name w:val="TF"/>
    <w:basedOn w:val="TH"/>
    <w:qFormat/>
    <w:pPr>
      <w:keepNext w:val="false"/>
      <w:spacing w:before="0" w:after="240"/>
    </w:pPr>
    <w:rPr/>
  </w:style>
  <w:style w:type="paragraph" w:styleId="ZG" w:customStyle="1">
    <w:name w:val="ZG"/>
    <w:qFormat/>
    <w:pPr>
      <w:widowControl w:val="false"/>
      <w:suppressAutoHyphens w:val="true"/>
      <w:overflowPunct w:val="false"/>
      <w:bidi w:val="0"/>
      <w:spacing w:before="0" w:after="0"/>
      <w:jc w:val="right"/>
    </w:pPr>
    <w:rPr>
      <w:rFonts w:ascii="Arial" w:hAnsi="Arial" w:eastAsia="Times New Roman" w:cs="Times New Roman"/>
      <w:color w:val="auto"/>
      <w:kern w:val="0"/>
      <w:sz w:val="20"/>
      <w:szCs w:val="20"/>
      <w:lang w:val="en-GB" w:eastAsia="en-US" w:bidi="ar-SA"/>
    </w:rPr>
  </w:style>
  <w:style w:type="paragraph" w:styleId="B2" w:customStyle="1">
    <w:name w:val="B2"/>
    <w:basedOn w:val="Normal"/>
    <w:qFormat/>
    <w:pPr>
      <w:ind w:left="851" w:hanging="284"/>
    </w:pPr>
    <w:rPr/>
  </w:style>
  <w:style w:type="paragraph" w:styleId="B3" w:customStyle="1">
    <w:name w:val="B3"/>
    <w:basedOn w:val="Normal"/>
    <w:qFormat/>
    <w:pPr>
      <w:ind w:left="1135" w:hanging="284"/>
    </w:pPr>
    <w:rPr/>
  </w:style>
  <w:style w:type="paragraph" w:styleId="B4" w:customStyle="1">
    <w:name w:val="B4"/>
    <w:basedOn w:val="Normal"/>
    <w:qFormat/>
    <w:pPr>
      <w:ind w:left="1418" w:hanging="284"/>
    </w:pPr>
    <w:rPr/>
  </w:style>
  <w:style w:type="paragraph" w:styleId="B5" w:customStyle="1">
    <w:name w:val="B5"/>
    <w:basedOn w:val="Normal"/>
    <w:qFormat/>
    <w:pPr>
      <w:ind w:left="1702" w:hanging="284"/>
    </w:pPr>
    <w:rPr/>
  </w:style>
  <w:style w:type="paragraph" w:styleId="ZTD" w:customStyle="1">
    <w:name w:val="ZTD"/>
    <w:basedOn w:val="ZB"/>
    <w:qFormat/>
    <w:pPr/>
    <w:rPr>
      <w:i w:val="false"/>
      <w:sz w:val="40"/>
    </w:rPr>
  </w:style>
  <w:style w:type="paragraph" w:styleId="ZV" w:customStyle="1">
    <w:name w:val="ZV"/>
    <w:basedOn w:val="ZU"/>
    <w:qFormat/>
    <w:pPr/>
    <w:rPr/>
  </w:style>
  <w:style w:type="paragraph" w:styleId="TAJ" w:customStyle="1">
    <w:name w:val="TAJ"/>
    <w:basedOn w:val="TH"/>
    <w:qFormat/>
    <w:pPr/>
    <w:rPr/>
  </w:style>
  <w:style w:type="paragraph" w:styleId="Guidance" w:customStyle="1">
    <w:name w:val="Guidance"/>
    <w:basedOn w:val="Normal"/>
    <w:qFormat/>
    <w:pPr/>
    <w:rPr>
      <w:i/>
      <w:color w:val="0000FF"/>
    </w:rPr>
  </w:style>
  <w:style w:type="paragraph" w:styleId="Index2">
    <w:name w:val="index 2"/>
    <w:basedOn w:val="Index1"/>
    <w:autoRedefine/>
    <w:qFormat/>
    <w:pPr>
      <w:ind w:left="284" w:hanging="0"/>
    </w:pPr>
    <w:rPr/>
  </w:style>
  <w:style w:type="paragraph" w:styleId="Index1">
    <w:name w:val="index 1"/>
    <w:basedOn w:val="Normal"/>
    <w:autoRedefine/>
    <w:qFormat/>
    <w:pPr>
      <w:keepLines/>
      <w:spacing w:before="0" w:after="0"/>
    </w:pPr>
    <w:rPr>
      <w:lang w:eastAsia="ko-KR"/>
    </w:rPr>
  </w:style>
  <w:style w:type="paragraph" w:styleId="ListNumber2">
    <w:name w:val="List Number 2"/>
    <w:basedOn w:val="ListNumber"/>
    <w:qFormat/>
    <w:pPr>
      <w:ind w:left="851" w:hanging="0"/>
    </w:pPr>
    <w:rPr/>
  </w:style>
  <w:style w:type="paragraph" w:styleId="ListNumber">
    <w:name w:val="List Number"/>
    <w:basedOn w:val="List"/>
    <w:qFormat/>
    <w:pPr/>
    <w:rPr/>
  </w:style>
  <w:style w:type="paragraph" w:styleId="Footnote">
    <w:name w:val="Footnote Text"/>
    <w:basedOn w:val="Normal"/>
    <w:pPr>
      <w:keepLines/>
      <w:spacing w:before="0" w:after="0"/>
      <w:ind w:left="454" w:hanging="454"/>
    </w:pPr>
    <w:rPr>
      <w:sz w:val="16"/>
      <w:lang w:eastAsia="ko-KR"/>
    </w:rPr>
  </w:style>
  <w:style w:type="paragraph" w:styleId="ListBullet2">
    <w:name w:val="List Bullet 2"/>
    <w:basedOn w:val="ListBullet"/>
    <w:autoRedefine/>
    <w:qFormat/>
    <w:pPr>
      <w:ind w:left="851" w:hanging="0"/>
    </w:pPr>
    <w:rPr/>
  </w:style>
  <w:style w:type="paragraph" w:styleId="ListBullet">
    <w:name w:val="List Bullet"/>
    <w:basedOn w:val="List"/>
    <w:autoRedefine/>
    <w:qFormat/>
    <w:pPr/>
    <w:rPr/>
  </w:style>
  <w:style w:type="paragraph" w:styleId="ListBullet3">
    <w:name w:val="List Bullet 3"/>
    <w:basedOn w:val="ListBullet2"/>
    <w:autoRedefine/>
    <w:qFormat/>
    <w:pPr>
      <w:ind w:left="1135" w:hanging="0"/>
    </w:pPr>
    <w:rPr/>
  </w:style>
  <w:style w:type="paragraph" w:styleId="ListBullet30" w:customStyle="1">
    <w:name w:val="List Bullet 30"/>
    <w:basedOn w:val="List"/>
    <w:qFormat/>
    <w:pPr>
      <w:ind w:left="851" w:hanging="284"/>
    </w:pPr>
    <w:rPr/>
  </w:style>
  <w:style w:type="paragraph" w:styleId="ListBullet4">
    <w:name w:val="List Bullet 4"/>
    <w:basedOn w:val="ListBullet30"/>
    <w:qFormat/>
    <w:pPr>
      <w:ind w:left="1135" w:hanging="284"/>
    </w:pPr>
    <w:rPr/>
  </w:style>
  <w:style w:type="paragraph" w:styleId="ListBullet5">
    <w:name w:val="List Bullet 5"/>
    <w:basedOn w:val="ListBullet4"/>
    <w:qFormat/>
    <w:pPr>
      <w:ind w:left="1418" w:hanging="284"/>
    </w:pPr>
    <w:rPr/>
  </w:style>
  <w:style w:type="paragraph" w:styleId="ListNumber0" w:customStyle="1">
    <w:name w:val="List Number0"/>
    <w:basedOn w:val="ListBullet5"/>
    <w:qFormat/>
    <w:pPr>
      <w:ind w:left="1702" w:hanging="284"/>
    </w:pPr>
    <w:rPr/>
  </w:style>
  <w:style w:type="paragraph" w:styleId="ListBullet40" w:customStyle="1">
    <w:name w:val="List Bullet 40"/>
    <w:basedOn w:val="ListBullet3"/>
    <w:autoRedefine/>
    <w:qFormat/>
    <w:pPr>
      <w:ind w:left="1418" w:hanging="0"/>
    </w:pPr>
    <w:rPr/>
  </w:style>
  <w:style w:type="paragraph" w:styleId="ListBullet50" w:customStyle="1">
    <w:name w:val="List Bullet 50"/>
    <w:basedOn w:val="ListBullet40"/>
    <w:autoRedefine/>
    <w:qFormat/>
    <w:pPr>
      <w:ind w:left="1702" w:hanging="0"/>
    </w:pPr>
    <w:rPr/>
  </w:style>
  <w:style w:type="paragraph" w:styleId="Indexheading">
    <w:name w:val="index heading"/>
    <w:basedOn w:val="Normal"/>
    <w:next w:val="Normal"/>
    <w:qFormat/>
    <w:pPr>
      <w:pBdr>
        <w:top w:val="single" w:sz="12" w:space="0" w:color="000000"/>
      </w:pBdr>
      <w:spacing w:before="360" w:after="240"/>
    </w:pPr>
    <w:rPr>
      <w:b/>
      <w:i/>
      <w:sz w:val="26"/>
    </w:rPr>
  </w:style>
  <w:style w:type="paragraph" w:styleId="INDENT1" w:customStyle="1">
    <w:name w:val="INDENT1"/>
    <w:basedOn w:val="Normal"/>
    <w:qFormat/>
    <w:pPr>
      <w:ind w:left="851" w:hanging="0"/>
    </w:pPr>
    <w:rPr/>
  </w:style>
  <w:style w:type="paragraph" w:styleId="INDENT2" w:customStyle="1">
    <w:name w:val="INDENT2"/>
    <w:basedOn w:val="Normal"/>
    <w:qFormat/>
    <w:pPr>
      <w:ind w:left="1135" w:hanging="284"/>
    </w:pPr>
    <w:rPr/>
  </w:style>
  <w:style w:type="paragraph" w:styleId="INDENT3" w:customStyle="1">
    <w:name w:val="INDENT3"/>
    <w:basedOn w:val="Normal"/>
    <w:qFormat/>
    <w:pPr>
      <w:ind w:left="1701" w:hanging="567"/>
    </w:pPr>
    <w:rPr/>
  </w:style>
  <w:style w:type="paragraph" w:styleId="FigureTitle" w:customStyle="1">
    <w:name w:val="Figure_Title"/>
    <w:basedOn w:val="Normal"/>
    <w:next w:val="Normal"/>
    <w:qFormat/>
    <w:pPr>
      <w:keepLines/>
      <w:tabs>
        <w:tab w:val="clear" w:pos="284"/>
        <w:tab w:val="left" w:pos="794" w:leader="none"/>
        <w:tab w:val="left" w:pos="1191" w:leader="none"/>
        <w:tab w:val="left" w:pos="1588" w:leader="none"/>
        <w:tab w:val="left" w:pos="1985" w:leader="none"/>
      </w:tabs>
      <w:spacing w:before="120" w:after="480"/>
      <w:jc w:val="center"/>
    </w:pPr>
    <w:rPr>
      <w:b/>
      <w:sz w:val="24"/>
    </w:rPr>
  </w:style>
  <w:style w:type="paragraph" w:styleId="RecCCITT" w:customStyle="1">
    <w:name w:val="Rec_CCITT_#"/>
    <w:basedOn w:val="Normal"/>
    <w:qFormat/>
    <w:pPr>
      <w:keepNext w:val="true"/>
      <w:keepLines/>
    </w:pPr>
    <w:rPr>
      <w:b/>
    </w:rPr>
  </w:style>
  <w:style w:type="paragraph" w:styleId="Enumlev2" w:customStyle="1">
    <w:name w:val="enumlev2"/>
    <w:basedOn w:val="Normal"/>
    <w:qFormat/>
    <w:pPr>
      <w:tabs>
        <w:tab w:val="clear" w:pos="284"/>
        <w:tab w:val="left" w:pos="794" w:leader="none"/>
        <w:tab w:val="left" w:pos="1191" w:leader="none"/>
        <w:tab w:val="left" w:pos="1588" w:leader="none"/>
        <w:tab w:val="left" w:pos="1985" w:leader="none"/>
      </w:tabs>
      <w:spacing w:before="86" w:after="180"/>
      <w:ind w:left="1588" w:hanging="397"/>
      <w:jc w:val="both"/>
    </w:pPr>
    <w:rPr>
      <w:lang w:val="en-US"/>
    </w:rPr>
  </w:style>
  <w:style w:type="paragraph" w:styleId="CouvRecTitle" w:customStyle="1">
    <w:name w:val="Couv Rec Title"/>
    <w:basedOn w:val="Normal"/>
    <w:qFormat/>
    <w:pPr>
      <w:keepNext w:val="true"/>
      <w:keepLines/>
      <w:spacing w:before="240" w:after="180"/>
      <w:ind w:left="1418" w:hanging="0"/>
    </w:pPr>
    <w:rPr>
      <w:rFonts w:ascii="Arial" w:hAnsi="Arial"/>
      <w:b/>
      <w:sz w:val="36"/>
      <w:lang w:val="en-US"/>
    </w:rPr>
  </w:style>
  <w:style w:type="paragraph" w:styleId="DocumentMap">
    <w:name w:val="Document Map"/>
    <w:basedOn w:val="Normal"/>
    <w:qFormat/>
    <w:pPr>
      <w:shd w:val="clear" w:color="auto" w:fill="000080"/>
    </w:pPr>
    <w:rPr>
      <w:rFonts w:ascii="Tahoma" w:hAnsi="Tahoma"/>
    </w:rPr>
  </w:style>
  <w:style w:type="paragraph" w:styleId="PlainText">
    <w:name w:val="Plain Text"/>
    <w:basedOn w:val="Normal"/>
    <w:qFormat/>
    <w:pPr/>
    <w:rPr>
      <w:rFonts w:ascii="Courier New" w:hAnsi="Courier New"/>
      <w:lang w:val="nb-NO"/>
    </w:rPr>
  </w:style>
  <w:style w:type="paragraph" w:styleId="Annotationtext">
    <w:name w:val="annotation text"/>
    <w:basedOn w:val="Normal"/>
    <w:qFormat/>
    <w:pPr/>
    <w:rPr/>
  </w:style>
  <w:style w:type="paragraph" w:styleId="BalloonText">
    <w:name w:val="Balloon Text"/>
    <w:basedOn w:val="Normal"/>
    <w:qFormat/>
    <w:pPr/>
    <w:rPr>
      <w:rFonts w:ascii="Tahoma" w:hAnsi="Tahoma" w:cs="Tahoma"/>
      <w:sz w:val="16"/>
      <w:szCs w:val="16"/>
    </w:rPr>
  </w:style>
  <w:style w:type="paragraph" w:styleId="Title">
    <w:name w:val="Title"/>
    <w:basedOn w:val="Normal"/>
    <w:next w:val="Normal"/>
    <w:uiPriority w:val="10"/>
    <w:qFormat/>
    <w:pPr>
      <w:spacing w:before="240" w:after="180"/>
      <w:ind w:left="2552" w:hanging="0"/>
      <w:textAlignment w:val="baseline"/>
    </w:pPr>
    <w:rPr>
      <w:rFonts w:ascii="Arial" w:hAnsi="Arial"/>
      <w:caps/>
      <w:sz w:val="22"/>
      <w:u w:val="single"/>
      <w:lang w:eastAsia="en-GB"/>
    </w:rPr>
  </w:style>
  <w:style w:type="paragraph" w:styleId="NormalIndent">
    <w:name w:val="Normal Indent"/>
    <w:basedOn w:val="Normal"/>
    <w:next w:val="Normal"/>
    <w:qFormat/>
    <w:pPr>
      <w:widowControl w:val="false"/>
      <w:tabs>
        <w:tab w:val="clear" w:pos="284"/>
        <w:tab w:val="right" w:pos="10260" w:leader="none"/>
      </w:tabs>
      <w:ind w:left="567" w:right="612" w:hanging="0"/>
      <w:jc w:val="both"/>
      <w:textAlignment w:val="baseline"/>
    </w:pPr>
    <w:rPr>
      <w:rFonts w:ascii="Arial" w:hAnsi="Arial"/>
      <w:b/>
      <w:lang w:eastAsia="en-GB"/>
    </w:rPr>
  </w:style>
  <w:style w:type="paragraph" w:styleId="ListContinue2">
    <w:name w:val="List Continue 2"/>
    <w:basedOn w:val="Normal"/>
    <w:qFormat/>
    <w:pPr>
      <w:widowControl w:val="false"/>
      <w:tabs>
        <w:tab w:val="clear" w:pos="284"/>
        <w:tab w:val="right" w:pos="10260" w:leader="none"/>
      </w:tabs>
      <w:spacing w:before="0" w:after="120"/>
      <w:ind w:left="720" w:right="612" w:hanging="0"/>
      <w:jc w:val="both"/>
      <w:textAlignment w:val="baseline"/>
    </w:pPr>
    <w:rPr>
      <w:rFonts w:ascii="Comic Sans MS" w:hAnsi="Comic Sans MS"/>
      <w:b/>
      <w:sz w:val="18"/>
      <w:lang w:eastAsia="en-GB"/>
    </w:rPr>
  </w:style>
  <w:style w:type="paragraph" w:styleId="ListContinue3">
    <w:name w:val="List Continue 3"/>
    <w:basedOn w:val="Normal"/>
    <w:qFormat/>
    <w:pPr>
      <w:widowControl w:val="false"/>
      <w:tabs>
        <w:tab w:val="clear" w:pos="284"/>
        <w:tab w:val="right" w:pos="10260" w:leader="none"/>
      </w:tabs>
      <w:spacing w:before="0" w:after="120"/>
      <w:ind w:left="1080" w:right="612" w:hanging="0"/>
      <w:jc w:val="both"/>
      <w:textAlignment w:val="baseline"/>
    </w:pPr>
    <w:rPr>
      <w:rFonts w:ascii="Comic Sans MS" w:hAnsi="Comic Sans MS"/>
      <w:b/>
      <w:sz w:val="18"/>
      <w:lang w:eastAsia="en-GB"/>
    </w:rPr>
  </w:style>
  <w:style w:type="paragraph" w:styleId="BL" w:customStyle="1">
    <w:name w:val="BL"/>
    <w:basedOn w:val="Normal"/>
    <w:qFormat/>
    <w:pPr>
      <w:widowControl w:val="false"/>
      <w:tabs>
        <w:tab w:val="clear" w:pos="284"/>
        <w:tab w:val="left" w:pos="851" w:leader="none"/>
        <w:tab w:val="right" w:pos="10260" w:leader="none"/>
      </w:tabs>
      <w:ind w:left="851" w:right="612" w:hanging="0"/>
      <w:jc w:val="both"/>
      <w:textAlignment w:val="baseline"/>
    </w:pPr>
    <w:rPr>
      <w:rFonts w:ascii="Arial" w:hAnsi="Arial"/>
      <w:b/>
      <w:lang w:eastAsia="en-GB"/>
    </w:rPr>
  </w:style>
  <w:style w:type="paragraph" w:styleId="BN" w:customStyle="1">
    <w:name w:val="BN"/>
    <w:basedOn w:val="Normal"/>
    <w:qFormat/>
    <w:pPr>
      <w:widowControl w:val="false"/>
      <w:tabs>
        <w:tab w:val="clear" w:pos="284"/>
        <w:tab w:val="left" w:pos="567" w:leader="none"/>
        <w:tab w:val="right" w:pos="10260" w:leader="none"/>
      </w:tabs>
      <w:ind w:left="568" w:right="612" w:hanging="284"/>
      <w:jc w:val="both"/>
      <w:textAlignment w:val="baseline"/>
    </w:pPr>
    <w:rPr>
      <w:rFonts w:ascii="Arial" w:hAnsi="Arial"/>
      <w:b/>
      <w:lang w:eastAsia="en-GB"/>
    </w:rPr>
  </w:style>
  <w:style w:type="paragraph" w:styleId="NumberedList0" w:customStyle="1">
    <w:name w:val="Numbered List 0"/>
    <w:basedOn w:val="Normal"/>
    <w:qFormat/>
    <w:pPr>
      <w:widowControl w:val="false"/>
      <w:tabs>
        <w:tab w:val="clear" w:pos="284"/>
        <w:tab w:val="right" w:pos="10260" w:leader="none"/>
      </w:tabs>
      <w:spacing w:before="0" w:after="220"/>
      <w:ind w:left="1298" w:right="612" w:hanging="1298"/>
      <w:jc w:val="both"/>
    </w:pPr>
    <w:rPr>
      <w:rFonts w:ascii="Arial" w:hAnsi="Arial" w:eastAsia="SimSun"/>
      <w:b/>
      <w:sz w:val="22"/>
      <w:lang w:val="en-US" w:eastAsia="zh-CN"/>
    </w:rPr>
  </w:style>
  <w:style w:type="paragraph" w:styleId="CRCoverPage" w:customStyle="1">
    <w:name w:val="CR Cover Page"/>
    <w:qFormat/>
    <w:pPr>
      <w:widowControl/>
      <w:suppressAutoHyphens w:val="true"/>
      <w:overflowPunct w:val="false"/>
      <w:bidi w:val="0"/>
      <w:spacing w:before="0" w:after="120"/>
      <w:jc w:val="left"/>
    </w:pPr>
    <w:rPr>
      <w:rFonts w:ascii="Arial" w:hAnsi="Arial" w:eastAsia="Times New Roman" w:cs="Times New Roman"/>
      <w:color w:val="auto"/>
      <w:kern w:val="0"/>
      <w:sz w:val="20"/>
      <w:szCs w:val="20"/>
      <w:lang w:val="en-GB" w:eastAsia="en-US" w:bidi="ar-SA"/>
    </w:rPr>
  </w:style>
  <w:style w:type="paragraph" w:styleId="Vb1" w:customStyle="1">
    <w:name w:val="vb1"/>
    <w:basedOn w:val="LD"/>
    <w:qFormat/>
    <w:pPr>
      <w:keepNext w:val="false"/>
      <w:keepLines w:val="false"/>
      <w:spacing w:lineRule="auto" w:line="240" w:before="0" w:after="180"/>
      <w:textAlignment w:val="baseline"/>
    </w:pPr>
    <w:rPr>
      <w:rFonts w:ascii="Times New Roman" w:hAnsi="Times New Roman"/>
      <w:lang w:eastAsia="en-GB"/>
    </w:rPr>
  </w:style>
  <w:style w:type="paragraph" w:styleId="TextBodyIndent">
    <w:name w:val="Body Text Indent"/>
    <w:basedOn w:val="Normal"/>
    <w:pPr>
      <w:spacing w:before="0" w:after="120"/>
      <w:ind w:left="283" w:hanging="0"/>
    </w:pPr>
    <w:rPr>
      <w:rFonts w:eastAsia="MS Mincho"/>
    </w:rPr>
  </w:style>
  <w:style w:type="paragraph" w:styleId="CommentSubject1" w:customStyle="1">
    <w:name w:val="Comment Subject1"/>
    <w:basedOn w:val="Annotationtext"/>
    <w:next w:val="Annotationtext"/>
    <w:qFormat/>
    <w:pPr>
      <w:tabs>
        <w:tab w:val="clear" w:pos="284"/>
        <w:tab w:val="left" w:pos="644" w:leader="none"/>
        <w:tab w:val="left" w:pos="1209" w:leader="none"/>
      </w:tabs>
    </w:pPr>
    <w:rPr>
      <w:rFonts w:eastAsia="MS Mincho"/>
      <w:b/>
      <w:bCs/>
    </w:rPr>
  </w:style>
  <w:style w:type="paragraph" w:styleId="Note" w:customStyle="1">
    <w:name w:val="Note"/>
    <w:basedOn w:val="Normal"/>
    <w:qFormat/>
    <w:pPr>
      <w:spacing w:before="0" w:after="120"/>
      <w:ind w:left="1134" w:hanging="567"/>
    </w:pPr>
    <w:rPr>
      <w:rFonts w:eastAsia="MS Mincho"/>
      <w:szCs w:val="22"/>
    </w:rPr>
  </w:style>
  <w:style w:type="paragraph" w:styleId="SectionXX" w:customStyle="1">
    <w:name w:val="Section X.X"/>
    <w:basedOn w:val="Normal"/>
    <w:next w:val="Normal"/>
    <w:qFormat/>
    <w:pPr>
      <w:widowControl w:val="false"/>
      <w:spacing w:before="50" w:after="50"/>
      <w:jc w:val="both"/>
      <w:outlineLvl w:val="1"/>
    </w:pPr>
    <w:rPr>
      <w:rFonts w:ascii="Arial" w:hAnsi="Arial" w:eastAsia="Arial"/>
      <w:kern w:val="2"/>
      <w:sz w:val="24"/>
      <w:szCs w:val="24"/>
      <w:lang w:eastAsia="ja-JP"/>
    </w:rPr>
  </w:style>
  <w:style w:type="paragraph" w:styleId="List0" w:customStyle="1">
    <w:name w:val="List 0"/>
    <w:basedOn w:val="Normal"/>
    <w:qFormat/>
    <w:pPr>
      <w:spacing w:before="0" w:after="120"/>
      <w:ind w:left="284" w:hanging="284"/>
    </w:pPr>
    <w:rPr>
      <w:rFonts w:ascii="Arial" w:hAnsi="Arial" w:eastAsia="MS Mincho"/>
      <w:szCs w:val="22"/>
    </w:rPr>
  </w:style>
  <w:style w:type="paragraph" w:styleId="TALCharChar" w:customStyle="1">
    <w:name w:val="TAL Char Char"/>
    <w:basedOn w:val="Normal"/>
    <w:qFormat/>
    <w:pPr>
      <w:keepNext w:val="true"/>
      <w:keepLines/>
      <w:spacing w:before="0" w:after="0"/>
      <w:textAlignment w:val="baseline"/>
    </w:pPr>
    <w:rPr>
      <w:rFonts w:ascii="Arial" w:hAnsi="Arial"/>
      <w:sz w:val="18"/>
      <w:lang w:eastAsia="ja-JP"/>
    </w:rPr>
  </w:style>
  <w:style w:type="paragraph" w:styleId="Annotationsubject">
    <w:name w:val="annotation subject"/>
    <w:basedOn w:val="Annotationtext"/>
    <w:next w:val="Annotationtext"/>
    <w:qFormat/>
    <w:pPr>
      <w:textAlignment w:val="baseline"/>
    </w:pPr>
    <w:rPr>
      <w:b/>
      <w:bCs/>
      <w:lang w:eastAsia="en-GB"/>
    </w:rPr>
  </w:style>
  <w:style w:type="paragraph" w:styleId="Tdocheader" w:customStyle="1">
    <w:name w:val="tdoc-header"/>
    <w:qFormat/>
    <w:pPr>
      <w:widowControl/>
      <w:suppressAutoHyphens w:val="true"/>
      <w:overflowPunct w:val="false"/>
      <w:bidi w:val="0"/>
      <w:spacing w:before="0" w:after="0"/>
      <w:jc w:val="left"/>
    </w:pPr>
    <w:rPr>
      <w:rFonts w:ascii="Arial" w:hAnsi="Arial" w:eastAsia="Times New Roman" w:cs="Times New Roman"/>
      <w:color w:val="auto"/>
      <w:kern w:val="0"/>
      <w:sz w:val="24"/>
      <w:szCs w:val="20"/>
      <w:lang w:val="en-GB" w:eastAsia="en-US" w:bidi="ar-SA"/>
    </w:rPr>
  </w:style>
  <w:style w:type="paragraph" w:styleId="StylePLPatternClearGray10" w:customStyle="1">
    <w:name w:val="Style PL + Pattern: Clear (Gray-10%)"/>
    <w:basedOn w:val="Normal"/>
    <w:qFormat/>
    <w:pPr>
      <w:widowControl w:val="false"/>
      <w:shd w:val="clear" w:color="auto" w:fill="E6E6E6"/>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jc w:val="both"/>
      <w:textAlignment w:val="baseline"/>
    </w:pPr>
    <w:rPr>
      <w:rFonts w:ascii="Courier New" w:hAnsi="Courier New"/>
      <w:sz w:val="16"/>
    </w:rPr>
  </w:style>
  <w:style w:type="paragraph" w:styleId="TableRow" w:customStyle="1">
    <w:name w:val="Table Row"/>
    <w:basedOn w:val="Normal"/>
    <w:qFormat/>
    <w:pPr>
      <w:widowControl w:val="false"/>
      <w:spacing w:before="20" w:after="20"/>
      <w:jc w:val="both"/>
      <w:textAlignment w:val="baseline"/>
    </w:pPr>
    <w:rPr>
      <w:rFonts w:eastAsia="SimSun"/>
    </w:rPr>
  </w:style>
  <w:style w:type="paragraph" w:styleId="StylePLPatternClearGray101" w:customStyle="1">
    <w:name w:val="Style PL + Pattern: Clear (Gray-10%)1"/>
    <w:basedOn w:val="PL"/>
    <w:qFormat/>
    <w:pPr>
      <w:widowControl w:val="false"/>
      <w:shd w:val="clear" w:color="auto" w:fill="E6E6E6"/>
      <w:jc w:val="both"/>
      <w:textAlignment w:val="baseline"/>
    </w:pPr>
    <w:rPr>
      <w:rFonts w:eastAsia="SimSun"/>
    </w:rPr>
  </w:style>
  <w:style w:type="paragraph" w:styleId="StylePLPatternClearGray102" w:customStyle="1">
    <w:name w:val="Style PL + Pattern: Clear (Gray-10%)2"/>
    <w:basedOn w:val="PL"/>
    <w:qFormat/>
    <w:pPr>
      <w:widowControl w:val="false"/>
      <w:shd w:val="clear" w:color="auto" w:fill="E6E6E6"/>
      <w:jc w:val="both"/>
      <w:textAlignment w:val="baseline"/>
    </w:pPr>
    <w:rPr>
      <w:rFonts w:eastAsia="SimSun"/>
    </w:rPr>
  </w:style>
  <w:style w:type="paragraph" w:styleId="StylePLPatternClearGray103" w:customStyle="1">
    <w:name w:val="Style PL + Pattern: Clear (Gray-10%)3"/>
    <w:basedOn w:val="PL"/>
    <w:qFormat/>
    <w:pPr>
      <w:widowControl w:val="false"/>
      <w:shd w:val="clear" w:color="auto" w:fill="E6E6E6"/>
      <w:jc w:val="both"/>
      <w:textAlignment w:val="baseline"/>
    </w:pPr>
    <w:rPr>
      <w:rFonts w:eastAsia="SimSun"/>
    </w:rPr>
  </w:style>
  <w:style w:type="paragraph" w:styleId="StylePLPatternClearGray104" w:customStyle="1">
    <w:name w:val="Style PL + Pattern: Clear (Gray-10%)4"/>
    <w:basedOn w:val="PL"/>
    <w:qFormat/>
    <w:pPr>
      <w:widowControl w:val="false"/>
      <w:shd w:val="clear" w:color="auto" w:fill="E6E6E6"/>
      <w:jc w:val="both"/>
      <w:textAlignment w:val="baseline"/>
    </w:pPr>
    <w:rPr>
      <w:rFonts w:eastAsia="SimSun"/>
    </w:rPr>
  </w:style>
  <w:style w:type="paragraph" w:styleId="StylePLPatternClearGray105" w:customStyle="1">
    <w:name w:val="Style PL + Pattern: Clear (Gray-10%)5"/>
    <w:basedOn w:val="PL"/>
    <w:qFormat/>
    <w:pPr>
      <w:widowControl w:val="false"/>
      <w:shd w:val="clear" w:color="auto" w:fill="E6E6E6"/>
      <w:jc w:val="both"/>
      <w:textAlignment w:val="baseline"/>
    </w:pPr>
    <w:rPr>
      <w:rFonts w:eastAsia="SimSun"/>
    </w:rPr>
  </w:style>
  <w:style w:type="paragraph" w:styleId="StylePLPatternClearGray106" w:customStyle="1">
    <w:name w:val="Style PL + Pattern: Clear (Gray-10%)6"/>
    <w:basedOn w:val="PL"/>
    <w:qFormat/>
    <w:pPr>
      <w:widowControl w:val="false"/>
      <w:shd w:val="clear" w:color="auto" w:fill="E6E6E6"/>
      <w:jc w:val="both"/>
      <w:textAlignment w:val="baseline"/>
    </w:pPr>
    <w:rPr>
      <w:rFonts w:eastAsia="SimSun"/>
    </w:rPr>
  </w:style>
  <w:style w:type="paragraph" w:styleId="NumList" w:customStyle="1">
    <w:name w:val="NumList"/>
    <w:basedOn w:val="Normal"/>
    <w:qFormat/>
    <w:pPr>
      <w:widowControl w:val="false"/>
      <w:spacing w:before="120" w:after="0"/>
      <w:jc w:val="both"/>
      <w:textAlignment w:val="baseline"/>
    </w:pPr>
    <w:rPr>
      <w:rFonts w:eastAsia="SimSun"/>
    </w:rPr>
  </w:style>
  <w:style w:type="paragraph" w:styleId="Revision">
    <w:name w:val="Revision"/>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Default" w:customStyle="1">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en-US" w:eastAsia="en-US" w:bidi="ar-SA"/>
    </w:rPr>
  </w:style>
  <w:style w:type="paragraph" w:styleId="B6" w:customStyle="1">
    <w:name w:val="B6"/>
    <w:basedOn w:val="B5"/>
    <w:qFormat/>
    <w:pPr>
      <w:ind w:left="1985" w:hanging="284"/>
      <w:textAlignment w:val="baseline"/>
    </w:pPr>
    <w:rPr>
      <w:rFonts w:eastAsia="MS Mincho"/>
      <w:lang w:val="x-none" w:eastAsia="x-none"/>
    </w:rPr>
  </w:style>
  <w:style w:type="paragraph" w:styleId="B7" w:customStyle="1">
    <w:name w:val="B7"/>
    <w:basedOn w:val="B6"/>
    <w:qFormat/>
    <w:pPr>
      <w:ind w:left="2269" w:hanging="284"/>
    </w:pPr>
    <w:rPr/>
  </w:style>
  <w:style w:type="paragraph" w:styleId="B8" w:customStyle="1">
    <w:name w:val="B8"/>
    <w:basedOn w:val="B7"/>
    <w:qFormat/>
    <w:pPr>
      <w:ind w:left="2448" w:hanging="288"/>
    </w:pPr>
    <w:rPr>
      <w:rFonts w:eastAsia="Times New Roman"/>
    </w:rPr>
  </w:style>
  <w:style w:type="paragraph" w:styleId="TPchange" w:customStyle="1">
    <w:name w:val="TP-change"/>
    <w:basedOn w:val="Normal"/>
    <w:qFormat/>
    <w:pPr>
      <w:spacing w:before="0" w:after="0"/>
      <w:jc w:val="center"/>
    </w:pPr>
    <w:rPr>
      <w:rFonts w:eastAsia="SimSun"/>
      <w:b/>
      <w:lang w:eastAsia="x-none"/>
    </w:rPr>
  </w:style>
  <w:style w:type="paragraph" w:styleId="NormalWeb">
    <w:name w:val="Normal (Web)"/>
    <w:basedOn w:val="Normal"/>
    <w:qFormat/>
    <w:pPr>
      <w:spacing w:before="280" w:after="280"/>
    </w:pPr>
    <w:rPr>
      <w:sz w:val="24"/>
      <w:szCs w:val="24"/>
      <w:lang w:val="en-US"/>
    </w:rPr>
  </w:style>
  <w:style w:type="paragraph" w:styleId="Doctext2" w:customStyle="1">
    <w:name w:val="Doc-text2"/>
    <w:basedOn w:val="Normal"/>
    <w:qFormat/>
    <w:pPr>
      <w:tabs>
        <w:tab w:val="clear" w:pos="284"/>
        <w:tab w:val="left" w:pos="1622" w:leader="none"/>
      </w:tabs>
      <w:spacing w:before="0" w:after="0"/>
      <w:ind w:left="1622" w:hanging="363"/>
    </w:pPr>
    <w:rPr>
      <w:rFonts w:ascii="Arial" w:hAnsi="Arial" w:eastAsia="MS Mincho"/>
      <w:szCs w:val="24"/>
      <w:lang w:eastAsia="en-GB"/>
    </w:rPr>
  </w:style>
  <w:style w:type="paragraph" w:styleId="Doctitle" w:customStyle="1">
    <w:name w:val="Doc-title"/>
    <w:basedOn w:val="Normal"/>
    <w:next w:val="Doctext2"/>
    <w:qFormat/>
    <w:pPr>
      <w:spacing w:before="60" w:after="0"/>
      <w:ind w:left="1259" w:hanging="1259"/>
    </w:pPr>
    <w:rPr>
      <w:rFonts w:ascii="Arial" w:hAnsi="Arial" w:eastAsia="MS Mincho"/>
      <w:szCs w:val="24"/>
      <w:lang w:eastAsia="en-GB"/>
    </w:rPr>
  </w:style>
  <w:style w:type="paragraph" w:styleId="ListParagraph">
    <w:name w:val="List Paragraph"/>
    <w:basedOn w:val="Normal"/>
    <w:qFormat/>
    <w:pPr>
      <w:spacing w:before="0" w:after="0"/>
      <w:ind w:left="720" w:hanging="0"/>
    </w:pPr>
    <w:rPr>
      <w:rFonts w:ascii="Calibri" w:hAnsi="Calibri" w:eastAsia="Calibri"/>
      <w:sz w:val="22"/>
      <w:szCs w:val="22"/>
      <w:lang w:eastAsia="en-GB"/>
    </w:rPr>
  </w:style>
  <w:style w:type="paragraph" w:styleId="Reference" w:customStyle="1">
    <w:name w:val="Reference"/>
    <w:basedOn w:val="Normal"/>
    <w:qFormat/>
    <w:pPr>
      <w:spacing w:before="0" w:after="120"/>
      <w:jc w:val="both"/>
      <w:textAlignment w:val="baseline"/>
    </w:pPr>
    <w:rPr>
      <w:rFonts w:ascii="Arial" w:hAnsi="Arial"/>
      <w:lang w:eastAsia="zh-CN"/>
    </w:rPr>
  </w:style>
  <w:style w:type="paragraph" w:styleId="Header">
    <w:name w:val="Header"/>
    <w:basedOn w:val="Normal"/>
    <w:pPr>
      <w:tabs>
        <w:tab w:val="clear" w:pos="284"/>
        <w:tab w:val="center" w:pos="4513" w:leader="none"/>
        <w:tab w:val="right" w:pos="9026" w:leader="none"/>
      </w:tabs>
      <w:spacing w:before="0" w:after="0"/>
    </w:pPr>
    <w:rPr/>
  </w:style>
  <w:style w:type="paragraph" w:styleId="3GPPAgreements" w:customStyle="1">
    <w:name w:val="3GPP Agreements"/>
    <w:basedOn w:val="Normal"/>
    <w:qFormat/>
    <w:pPr>
      <w:spacing w:before="60" w:after="60"/>
      <w:ind w:left="502" w:hanging="360"/>
      <w:jc w:val="both"/>
      <w:textAlignment w:val="baseline"/>
    </w:pPr>
    <w:rPr>
      <w:rFonts w:eastAsia="SimSun"/>
      <w:sz w:val="22"/>
      <w:lang w:val="en-US" w:eastAsia="zh-CN"/>
    </w:rPr>
  </w:style>
  <w:style w:type="paragraph" w:styleId="TALLeft025cm" w:customStyle="1">
    <w:name w:val="TAL + Left:  025 cm"/>
    <w:basedOn w:val="TAL"/>
    <w:qFormat/>
    <w:pPr>
      <w:ind w:left="142" w:hanging="0"/>
      <w:textAlignment w:val="baseline"/>
    </w:pPr>
    <w:rPr>
      <w:lang w:eastAsia="en-GB"/>
    </w:rPr>
  </w:style>
  <w:style w:type="paragraph" w:styleId="TALLeft05" w:customStyle="1">
    <w:name w:val="TAL + Left: 0.5"/>
    <w:basedOn w:val="TALLeft025cm"/>
    <w:qFormat/>
    <w:pPr>
      <w:ind w:left="284" w:hanging="0"/>
    </w:pPr>
    <w:rPr>
      <w:rFonts w:eastAsia="DengXian"/>
    </w:rPr>
  </w:style>
  <w:style w:type="paragraph" w:styleId="TAL075" w:customStyle="1">
    <w:name w:val="TAL+0.75"/>
    <w:basedOn w:val="TALLeft05"/>
    <w:qFormat/>
    <w:pPr>
      <w:ind w:left="425" w:hanging="0"/>
    </w:pPr>
    <w:rPr/>
  </w:style>
  <w:style w:type="paragraph" w:styleId="ListParagraph3" w:customStyle="1">
    <w:name w:val="List Paragraph3"/>
    <w:basedOn w:val="Normal"/>
    <w:qFormat/>
    <w:pPr>
      <w:spacing w:before="280" w:after="180"/>
      <w:ind w:left="720" w:hanging="0"/>
      <w:contextualSpacing/>
    </w:pPr>
    <w:rPr>
      <w:rFonts w:eastAsia="SimSun"/>
      <w:sz w:val="24"/>
      <w:szCs w:val="24"/>
      <w:lang w:val="en-US" w:eastAsia="zh-CN"/>
    </w:rPr>
  </w:style>
  <w:style w:type="paragraph" w:styleId="H6" w:customStyle="1">
    <w:name w:val="H6"/>
    <w:basedOn w:val="Heading5"/>
    <w:next w:val="Normal"/>
    <w:qFormat/>
    <w:pPr>
      <w:ind w:left="1985" w:hanging="1985"/>
    </w:pPr>
    <w:rPr>
      <w:sz w:val="20"/>
      <w:lang w:eastAsia="zh-CN"/>
    </w:rPr>
  </w:style>
  <w:style w:type="paragraph" w:styleId="Comments" w:customStyle="1">
    <w:name w:val="Comments"/>
    <w:basedOn w:val="Normal"/>
    <w:qFormat/>
    <w:pPr>
      <w:spacing w:before="40" w:after="0"/>
    </w:pPr>
    <w:rPr>
      <w:rFonts w:ascii="Arial" w:hAnsi="Arial" w:eastAsia="MS Mincho"/>
      <w:i/>
      <w:sz w:val="18"/>
      <w:szCs w:val="24"/>
      <w:lang w:eastAsia="en-GB"/>
    </w:rPr>
  </w:style>
  <w:style w:type="paragraph" w:styleId="TableContents" w:customStyle="1">
    <w:name w:val="Table Contents"/>
    <w:basedOn w:val="Normal"/>
    <w:qFormat/>
    <w:pPr>
      <w:suppressLineNumbers/>
    </w:pPr>
    <w:rPr/>
  </w:style>
  <w:style w:type="numbering" w:styleId="NoList" w:default="1">
    <w:name w:val="No List"/>
    <w:uiPriority w:val="99"/>
    <w:semiHidden/>
    <w:unhideWhenUsed/>
    <w:qFormat/>
  </w:style>
  <w:style w:type="numbering" w:styleId="StyleBulletedSymbolsymbolLeft025Hanging0" w:customStyle="1">
    <w:name w:val="Style Bulleted Symbol (symbol) Left:  0.25&quot; Hanging:  0."/>
    <w:qFormat/>
  </w:style>
  <w:style w:type="numbering" w:styleId="NoList1" w:customStyle="1">
    <w:name w:val="No List1"/>
    <w:qFormat/>
  </w:style>
  <w:style w:type="numbering" w:styleId="StyleBulletedSymbolsymbolLeft025Hanging0252" w:customStyle="1">
    <w:name w:val="Style Bulleted Symbol (symbol) Left:  0.25&quot; Hanging:  0.25&quot;2"/>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591</TotalTime>
  <Application>LibreOffice/6.4.7.2$Linux_X86_64 LibreOffice_project/40$Build-2</Application>
  <Pages>13</Pages>
  <Words>2700</Words>
  <Characters>14007</Characters>
  <CharactersWithSpaces>16741</CharactersWithSpaces>
  <Paragraphs>116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2025-02-05T06:21:00Z</dcterms:created>
  <dc:creator>MCC Support</dc:creator>
  <dc:description/>
  <dc:language>en-US</dc:language>
  <cp:lastModifiedBy/>
  <cp:lastPrinted>2024-10-01T16:43:00Z</cp:lastPrinted>
  <dcterms:modified xsi:type="dcterms:W3CDTF">2025-02-06T18:12:02Z</dcterms:modified>
  <cp:revision>11</cp:revision>
  <dc:subject>LTE Positioning Protocol (LPP) (Release 16)</dc:subject>
  <dc:title>3GPP TS 37.355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0x0101001607C58FD835CD4DBB2D243FBBB21DB7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Tags">
    <vt:lpwstr/>
  </property>
  <property fmtid="{D5CDD505-2E9C-101B-9397-08002B2CF9AE}" pid="10" name="_NewReviewCycle">
    <vt:lpwstr/>
  </property>
  <property fmtid="{D5CDD505-2E9C-101B-9397-08002B2CF9AE}" pid="11" name="_dlc_DocIdItemGuid">
    <vt:lpwstr>6fc90451-946e-4f07-854f-c6711ae62da3</vt:lpwstr>
  </property>
</Properties>
</file>